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31" w:rsidRPr="00AC5A64" w:rsidRDefault="00FF3D31" w:rsidP="00FF3D31">
      <w:pPr>
        <w:autoSpaceDN w:val="0"/>
        <w:adjustRightInd w:val="0"/>
        <w:jc w:val="center"/>
        <w:outlineLvl w:val="6"/>
        <w:rPr>
          <w:iCs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186"/>
      </w:tblGrid>
      <w:tr w:rsidR="00FF3D31" w:rsidRPr="00AC5A64" w:rsidTr="00B44BDB">
        <w:trPr>
          <w:trHeight w:val="361"/>
        </w:trPr>
        <w:tc>
          <w:tcPr>
            <w:tcW w:w="1453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FF3D31" w:rsidRPr="00AC5A64" w:rsidRDefault="00FF3D31" w:rsidP="00FF3D31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eastAsia="it-IT"/>
              </w:rPr>
            </w:pPr>
            <w:r w:rsidRPr="00AC5A64">
              <w:rPr>
                <w:rFonts w:ascii="Calibri" w:hAnsi="Calibri"/>
                <w:b/>
                <w:sz w:val="24"/>
                <w:szCs w:val="24"/>
                <w:lang w:eastAsia="it-IT"/>
              </w:rPr>
              <w:t>OGGETTO:</w:t>
            </w: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FF3D31" w:rsidRPr="00AC5A64" w:rsidRDefault="00FF3D31" w:rsidP="00FF3D3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it-IT"/>
              </w:rPr>
            </w:pPr>
            <w:r w:rsidRPr="00AC5A64">
              <w:rPr>
                <w:rFonts w:ascii="Calibri" w:hAnsi="Calibri"/>
                <w:b/>
                <w:bCs/>
                <w:sz w:val="28"/>
                <w:szCs w:val="28"/>
                <w:lang w:eastAsia="it-IT"/>
              </w:rPr>
              <w:t>SUA p/c del Comune di Montecarotto</w:t>
            </w:r>
          </w:p>
          <w:p w:rsidR="00FF3D31" w:rsidRPr="00AC5A64" w:rsidRDefault="00FF3D31" w:rsidP="00FF3D3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it-IT"/>
              </w:rPr>
            </w:pPr>
          </w:p>
          <w:p w:rsidR="00FF3D31" w:rsidRPr="00AC5A64" w:rsidRDefault="00FF3D31" w:rsidP="00FF3D3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highlight w:val="yellow"/>
                <w:lang w:eastAsia="it-IT"/>
              </w:rPr>
            </w:pPr>
            <w:r w:rsidRPr="00AC5A64">
              <w:rPr>
                <w:rFonts w:ascii="Calibri" w:hAnsi="Calibri"/>
                <w:b/>
                <w:bCs/>
                <w:sz w:val="24"/>
                <w:szCs w:val="24"/>
                <w:lang w:eastAsia="it-IT"/>
              </w:rPr>
              <w:t xml:space="preserve">GARA EUROPEA A PROCEDURA APERTA </w:t>
            </w:r>
            <w:r w:rsidRPr="00AC5A64">
              <w:rPr>
                <w:rFonts w:ascii="Calibri" w:hAnsi="Calibri"/>
                <w:bCs/>
                <w:sz w:val="24"/>
                <w:szCs w:val="24"/>
                <w:lang w:eastAsia="it-IT"/>
              </w:rPr>
              <w:t xml:space="preserve">per l’affidamento </w:t>
            </w:r>
            <w:r w:rsidRPr="00AC5A64">
              <w:rPr>
                <w:rFonts w:ascii="Calibri" w:hAnsi="Calibri"/>
                <w:bCs/>
                <w:iCs/>
                <w:sz w:val="24"/>
                <w:szCs w:val="24"/>
                <w:lang w:eastAsia="it-IT"/>
              </w:rPr>
              <w:t>dei</w:t>
            </w:r>
            <w:r w:rsidRPr="00AC5A64">
              <w:rPr>
                <w:rFonts w:ascii="Calibri" w:hAnsi="Calibri"/>
                <w:b/>
                <w:bCs/>
                <w:iCs/>
                <w:sz w:val="24"/>
                <w:szCs w:val="24"/>
                <w:highlight w:val="yellow"/>
                <w:lang w:eastAsia="it-IT"/>
              </w:rPr>
              <w:t xml:space="preserve"> </w:t>
            </w:r>
          </w:p>
          <w:p w:rsidR="00FF3D31" w:rsidRPr="00AC5A64" w:rsidRDefault="00FF3D31" w:rsidP="00FF3D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eastAsia="it-IT"/>
              </w:rPr>
            </w:pPr>
            <w:r w:rsidRPr="00AC5A64">
              <w:rPr>
                <w:rFonts w:ascii="Calibri" w:hAnsi="Calibri"/>
                <w:b/>
                <w:bCs/>
                <w:iCs/>
                <w:color w:val="FF0000"/>
                <w:sz w:val="24"/>
                <w:szCs w:val="24"/>
                <w:lang w:eastAsia="it-IT"/>
              </w:rPr>
              <w:t xml:space="preserve">“SERVIZI DI INTEGRAZIONE: ASSISTENZA OSS AGLI ANZIANI E SERVIZIO INFERMIERISTICO PRESSO LA STRUTTURA DI RESIDENZA PROTETTA E CASA DI RIPOSO, MENSA CENTRALIZZATA, GUIDA SCUOLABUS, PULIZIE LOCALI COMUNALI” </w:t>
            </w:r>
            <w:r w:rsidRPr="00AC5A64">
              <w:rPr>
                <w:rFonts w:ascii="Calibri" w:hAnsi="Calibri"/>
                <w:b/>
                <w:bCs/>
                <w:sz w:val="24"/>
                <w:szCs w:val="24"/>
                <w:lang w:eastAsia="it-IT"/>
              </w:rPr>
              <w:t>CIG: 7239597071</w:t>
            </w:r>
          </w:p>
        </w:tc>
      </w:tr>
      <w:tr w:rsidR="00FF3D31" w:rsidRPr="00AC5A64" w:rsidTr="00B44BDB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FF3D31" w:rsidRPr="00AC5A64" w:rsidRDefault="00FF3D31" w:rsidP="00FF3D31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FF3D31" w:rsidRPr="00AC5A64" w:rsidRDefault="00FF3D31" w:rsidP="00FF3D31">
            <w:pPr>
              <w:spacing w:after="0" w:line="240" w:lineRule="auto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AC5A64">
              <w:rPr>
                <w:rFonts w:ascii="Calibri" w:hAnsi="Calibri"/>
                <w:b/>
                <w:bCs/>
                <w:sz w:val="24"/>
                <w:szCs w:val="24"/>
                <w:lang w:eastAsia="it-IT"/>
              </w:rPr>
              <w:t xml:space="preserve">Scadenza presentazione offerte: </w:t>
            </w:r>
            <w:r w:rsidRPr="00AC5A64"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it-IT"/>
              </w:rPr>
              <w:t>27 novembre 2017, ore 13:00</w:t>
            </w:r>
          </w:p>
        </w:tc>
      </w:tr>
    </w:tbl>
    <w:p w:rsidR="00221AC4" w:rsidRPr="00221AC4" w:rsidRDefault="00221AC4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221AC4">
        <w:rPr>
          <w:rFonts w:asciiTheme="majorBidi" w:hAnsiTheme="majorBidi" w:cstheme="majorBidi"/>
          <w:b/>
          <w:sz w:val="24"/>
          <w:szCs w:val="24"/>
        </w:rPr>
        <w:t>PATTO DI INTEGRITÀ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TRA</w:t>
      </w:r>
    </w:p>
    <w:p w:rsidR="00170A13" w:rsidRPr="00DC08F8" w:rsidRDefault="00DC08F8" w:rsidP="00721AE4">
      <w:pPr>
        <w:widowControl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 xml:space="preserve">COMUNE DI </w:t>
      </w:r>
      <w:r w:rsidR="005425C9">
        <w:rPr>
          <w:rFonts w:asciiTheme="majorBidi" w:hAnsiTheme="majorBidi" w:cstheme="majorBidi"/>
          <w:b/>
          <w:sz w:val="24"/>
          <w:szCs w:val="24"/>
        </w:rPr>
        <w:t>MONTECAROTTO</w:t>
      </w:r>
      <w:r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170A13" w:rsidRPr="00DC08F8">
        <w:rPr>
          <w:rFonts w:asciiTheme="majorBidi" w:hAnsiTheme="majorBidi" w:cstheme="majorBidi"/>
          <w:sz w:val="24"/>
          <w:szCs w:val="24"/>
        </w:rPr>
        <w:t>(di seguito denominato</w:t>
      </w:r>
      <w:r w:rsidR="001836D0"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DC08F8">
        <w:rPr>
          <w:rFonts w:asciiTheme="majorBidi" w:hAnsiTheme="majorBidi" w:cstheme="majorBidi"/>
          <w:i/>
          <w:sz w:val="24"/>
          <w:szCs w:val="24"/>
        </w:rPr>
        <w:t>Amministrazione</w:t>
      </w:r>
      <w:r w:rsidR="00170A13" w:rsidRPr="00DC08F8">
        <w:rPr>
          <w:rFonts w:asciiTheme="majorBidi" w:hAnsiTheme="majorBidi" w:cstheme="majorBidi"/>
          <w:sz w:val="24"/>
          <w:szCs w:val="24"/>
        </w:rPr>
        <w:t>)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E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L’IMPRESA</w:t>
      </w:r>
      <w:r w:rsidRPr="00170A13">
        <w:rPr>
          <w:rFonts w:asciiTheme="majorBidi" w:hAnsiTheme="majorBidi" w:cstheme="majorBidi"/>
          <w:sz w:val="24"/>
          <w:szCs w:val="24"/>
        </w:rPr>
        <w:t xml:space="preserve">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Pr="00170A13">
        <w:rPr>
          <w:rFonts w:asciiTheme="majorBidi" w:hAnsiTheme="majorBidi" w:cstheme="majorBidi"/>
          <w:sz w:val="24"/>
          <w:szCs w:val="24"/>
        </w:rPr>
        <w:t xml:space="preserve"> (di seguito denominata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221AC4">
        <w:rPr>
          <w:rFonts w:asciiTheme="majorBidi" w:hAnsiTheme="majorBidi" w:cstheme="majorBidi"/>
          <w:i/>
          <w:sz w:val="24"/>
          <w:szCs w:val="24"/>
        </w:rPr>
        <w:t>Impresa</w:t>
      </w:r>
      <w:r w:rsidRPr="00170A13">
        <w:rPr>
          <w:rFonts w:asciiTheme="majorBidi" w:hAnsiTheme="majorBidi" w:cstheme="majorBidi"/>
          <w:sz w:val="24"/>
          <w:szCs w:val="24"/>
        </w:rPr>
        <w:t>)</w:t>
      </w:r>
      <w:r w:rsid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con sede legale in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</w:t>
      </w:r>
      <w:r w:rsidR="00221AC4">
        <w:rPr>
          <w:rFonts w:asciiTheme="majorBidi" w:hAnsiTheme="majorBidi" w:cstheme="majorBidi"/>
          <w:sz w:val="24"/>
          <w:szCs w:val="24"/>
        </w:rPr>
        <w:t>________________________</w:t>
      </w:r>
    </w:p>
    <w:p w:rsid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C.F./ P. IVA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rappresentata da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in qualità di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s.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lastRenderedPageBreak/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.83, comma 9, del d.lgs,n.50/2016,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lastRenderedPageBreak/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 conferito incarichi ai soggetti di cui all’art. 53, c. 16-ter, del D.Lgs.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marzo 2001 cosi come integrate dall’art.21 del D.Lgs.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all’art.53, comma 16-ter, del D.Lgs.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D.Lgs.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</w:t>
      </w:r>
      <w:r w:rsidR="00150C4B">
        <w:rPr>
          <w:rFonts w:asciiTheme="majorBidi" w:hAnsiTheme="majorBidi" w:cstheme="majorBidi"/>
          <w:sz w:val="24"/>
          <w:szCs w:val="24"/>
        </w:rPr>
        <w:t xml:space="preserve"> su richiesta dell’Amministrazion</w:t>
      </w:r>
      <w:r w:rsidRPr="00C07DED">
        <w:rPr>
          <w:rFonts w:asciiTheme="majorBidi" w:hAnsiTheme="majorBidi" w:cstheme="majorBidi"/>
          <w:sz w:val="24"/>
          <w:szCs w:val="24"/>
        </w:rPr>
        <w:t>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7335B1">
        <w:rPr>
          <w:rFonts w:asciiTheme="majorBidi" w:hAnsiTheme="majorBidi" w:cstheme="majorBidi"/>
          <w:sz w:val="24"/>
          <w:szCs w:val="24"/>
        </w:rPr>
        <w:t>ndenti del Ministero dell’Intern</w:t>
      </w:r>
      <w:r w:rsidR="00EF3BD2" w:rsidRPr="00775D55">
        <w:rPr>
          <w:rFonts w:asciiTheme="majorBidi" w:hAnsiTheme="majorBidi" w:cstheme="majorBidi"/>
          <w:sz w:val="24"/>
          <w:szCs w:val="24"/>
        </w:rPr>
        <w:t>o</w:t>
      </w:r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95602C" w:rsidRPr="00170A13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9F" w:rsidRDefault="0078549F" w:rsidP="00775D36">
      <w:pPr>
        <w:spacing w:after="0" w:line="240" w:lineRule="auto"/>
      </w:pPr>
      <w:r>
        <w:separator/>
      </w:r>
    </w:p>
  </w:endnote>
  <w:endnote w:type="continuationSeparator" w:id="0">
    <w:p w:rsidR="0078549F" w:rsidRDefault="0078549F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Default="00775D36" w:rsidP="005425C9">
      <w:pPr>
        <w:pStyle w:val="Paragrafoelenco"/>
        <w:widowControl w:val="0"/>
        <w:spacing w:after="0" w:line="240" w:lineRule="auto"/>
        <w:ind w:left="284"/>
        <w:jc w:val="both"/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9F" w:rsidRDefault="0078549F" w:rsidP="00775D36">
      <w:pPr>
        <w:spacing w:after="0" w:line="240" w:lineRule="auto"/>
      </w:pPr>
      <w:r>
        <w:separator/>
      </w:r>
    </w:p>
  </w:footnote>
  <w:footnote w:type="continuationSeparator" w:id="0">
    <w:p w:rsidR="0078549F" w:rsidRDefault="0078549F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6D0"/>
    <w:rsid w:val="000A374C"/>
    <w:rsid w:val="000C2EE4"/>
    <w:rsid w:val="00150C4B"/>
    <w:rsid w:val="00170A13"/>
    <w:rsid w:val="001836D0"/>
    <w:rsid w:val="00221AC4"/>
    <w:rsid w:val="0027623E"/>
    <w:rsid w:val="00291DB4"/>
    <w:rsid w:val="002A1D02"/>
    <w:rsid w:val="00490EBE"/>
    <w:rsid w:val="004E1F5C"/>
    <w:rsid w:val="00541B9F"/>
    <w:rsid w:val="005425C9"/>
    <w:rsid w:val="005A7715"/>
    <w:rsid w:val="0063167F"/>
    <w:rsid w:val="00695F3F"/>
    <w:rsid w:val="006D3DAF"/>
    <w:rsid w:val="00721AE4"/>
    <w:rsid w:val="007335B1"/>
    <w:rsid w:val="00775D36"/>
    <w:rsid w:val="00775D55"/>
    <w:rsid w:val="0078549F"/>
    <w:rsid w:val="008B7CFF"/>
    <w:rsid w:val="0095602C"/>
    <w:rsid w:val="00A03751"/>
    <w:rsid w:val="00A41AA1"/>
    <w:rsid w:val="00AE1CF7"/>
    <w:rsid w:val="00AF6EEF"/>
    <w:rsid w:val="00B877F7"/>
    <w:rsid w:val="00BE3A95"/>
    <w:rsid w:val="00C07DED"/>
    <w:rsid w:val="00C32C98"/>
    <w:rsid w:val="00D2724C"/>
    <w:rsid w:val="00DC08F8"/>
    <w:rsid w:val="00E86B31"/>
    <w:rsid w:val="00EF3BD2"/>
    <w:rsid w:val="00EF5B9E"/>
    <w:rsid w:val="00F61671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7CBC"/>
  <w15:docId w15:val="{BA83A04D-D9C5-49DF-B666-21C0E2C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1AA1"/>
  </w:style>
  <w:style w:type="paragraph" w:styleId="Titolo7">
    <w:name w:val="heading 7"/>
    <w:basedOn w:val="Normale"/>
    <w:next w:val="Normale"/>
    <w:link w:val="Titolo7Carattere"/>
    <w:qFormat/>
    <w:rsid w:val="005425C9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rsid w:val="005425C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CA8B-619D-47F6-8BDD-A2AF1CDB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Gambini Mara</cp:lastModifiedBy>
  <cp:revision>17</cp:revision>
  <dcterms:created xsi:type="dcterms:W3CDTF">2017-02-22T08:59:00Z</dcterms:created>
  <dcterms:modified xsi:type="dcterms:W3CDTF">2017-10-19T15:41:00Z</dcterms:modified>
</cp:coreProperties>
</file>