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454982463" w:displacedByCustomXml="next"/>
    <w:sdt>
      <w:sdtPr>
        <w:rPr>
          <w:rFonts w:ascii="Swis721 Cn BT" w:eastAsiaTheme="minorHAnsi" w:hAnsi="Swis721 Cn BT" w:cstheme="minorBidi"/>
          <w:b w:val="0"/>
          <w:bCs w:val="0"/>
          <w:caps w:val="0"/>
          <w:color w:val="auto"/>
          <w:sz w:val="22"/>
          <w:szCs w:val="22"/>
          <w:lang w:eastAsia="en-US"/>
        </w:rPr>
        <w:id w:val="-1332373863"/>
        <w:docPartObj>
          <w:docPartGallery w:val="Table of Contents"/>
          <w:docPartUnique/>
        </w:docPartObj>
      </w:sdtPr>
      <w:sdtEndPr>
        <w:rPr>
          <w:noProof/>
        </w:rPr>
      </w:sdtEndPr>
      <w:sdtContent>
        <w:p w14:paraId="2F2C8421" w14:textId="01576382" w:rsidR="0019162B" w:rsidRPr="0019162B" w:rsidRDefault="0019162B" w:rsidP="0019162B">
          <w:pPr>
            <w:pStyle w:val="TOCHeading"/>
            <w:rPr>
              <w:rFonts w:ascii="Arial" w:hAnsi="Arial" w:cs="Arial"/>
              <w:b w:val="0"/>
              <w:caps w:val="0"/>
            </w:rPr>
          </w:pPr>
          <w:r w:rsidRPr="0019162B">
            <w:rPr>
              <w:rFonts w:ascii="Arial" w:hAnsi="Arial" w:cs="Arial"/>
              <w:b w:val="0"/>
              <w:caps w:val="0"/>
            </w:rPr>
            <w:t>Sommario</w:t>
          </w:r>
        </w:p>
        <w:p w14:paraId="5BDF5383" w14:textId="070AF8F1" w:rsidR="000F36C2" w:rsidRPr="000F36C2" w:rsidRDefault="0019162B">
          <w:pPr>
            <w:pStyle w:val="TOC1"/>
            <w:rPr>
              <w:rFonts w:ascii="Arial" w:eastAsiaTheme="minorEastAsia" w:hAnsi="Arial" w:cs="Arial"/>
              <w:b w:val="0"/>
              <w:lang w:val="en-US"/>
            </w:rPr>
          </w:pPr>
          <w:r>
            <w:fldChar w:fldCharType="begin"/>
          </w:r>
          <w:r>
            <w:instrText xml:space="preserve"> TOC \o "1-3" \h \z \u </w:instrText>
          </w:r>
          <w:r>
            <w:fldChar w:fldCharType="separate"/>
          </w:r>
          <w:hyperlink w:anchor="_Toc141085127" w:history="1">
            <w:r w:rsidR="000F36C2" w:rsidRPr="000F36C2">
              <w:rPr>
                <w:rStyle w:val="Hyperlink"/>
                <w:rFonts w:ascii="Arial" w:hAnsi="Arial" w:cs="Arial"/>
                <w:b w:val="0"/>
              </w:rPr>
              <w:t>1</w:t>
            </w:r>
            <w:r w:rsidR="000F36C2" w:rsidRPr="000F36C2">
              <w:rPr>
                <w:rFonts w:ascii="Arial" w:eastAsiaTheme="minorEastAsia" w:hAnsi="Arial" w:cs="Arial"/>
                <w:b w:val="0"/>
                <w:lang w:val="en-US"/>
              </w:rPr>
              <w:tab/>
            </w:r>
            <w:r w:rsidR="000F36C2">
              <w:rPr>
                <w:rStyle w:val="Hyperlink"/>
                <w:rFonts w:ascii="Arial" w:hAnsi="Arial" w:cs="Arial"/>
                <w:b w:val="0"/>
              </w:rPr>
              <w:t>P</w:t>
            </w:r>
            <w:r w:rsidR="000F36C2" w:rsidRPr="000F36C2">
              <w:rPr>
                <w:rStyle w:val="Hyperlink"/>
                <w:rFonts w:ascii="Arial" w:hAnsi="Arial" w:cs="Arial"/>
                <w:b w:val="0"/>
              </w:rPr>
              <w:t>remessa</w:t>
            </w:r>
            <w:r w:rsidR="000F36C2" w:rsidRPr="000F36C2">
              <w:rPr>
                <w:rFonts w:ascii="Arial" w:hAnsi="Arial" w:cs="Arial"/>
                <w:b w:val="0"/>
                <w:webHidden/>
              </w:rPr>
              <w:tab/>
            </w:r>
            <w:r w:rsidR="000F36C2" w:rsidRPr="000F36C2">
              <w:rPr>
                <w:rFonts w:ascii="Arial" w:hAnsi="Arial" w:cs="Arial"/>
                <w:b w:val="0"/>
                <w:webHidden/>
              </w:rPr>
              <w:fldChar w:fldCharType="begin"/>
            </w:r>
            <w:r w:rsidR="000F36C2" w:rsidRPr="000F36C2">
              <w:rPr>
                <w:rFonts w:ascii="Arial" w:hAnsi="Arial" w:cs="Arial"/>
                <w:b w:val="0"/>
                <w:webHidden/>
              </w:rPr>
              <w:instrText xml:space="preserve"> PAGEREF _Toc141085127 \h </w:instrText>
            </w:r>
            <w:r w:rsidR="000F36C2" w:rsidRPr="000F36C2">
              <w:rPr>
                <w:rFonts w:ascii="Arial" w:hAnsi="Arial" w:cs="Arial"/>
                <w:b w:val="0"/>
                <w:webHidden/>
              </w:rPr>
            </w:r>
            <w:r w:rsidR="000F36C2" w:rsidRPr="000F36C2">
              <w:rPr>
                <w:rFonts w:ascii="Arial" w:hAnsi="Arial" w:cs="Arial"/>
                <w:b w:val="0"/>
                <w:webHidden/>
              </w:rPr>
              <w:fldChar w:fldCharType="separate"/>
            </w:r>
            <w:r w:rsidR="0095620C">
              <w:rPr>
                <w:rFonts w:ascii="Arial" w:hAnsi="Arial" w:cs="Arial"/>
                <w:b w:val="0"/>
                <w:webHidden/>
              </w:rPr>
              <w:t>2</w:t>
            </w:r>
            <w:r w:rsidR="000F36C2" w:rsidRPr="000F36C2">
              <w:rPr>
                <w:rFonts w:ascii="Arial" w:hAnsi="Arial" w:cs="Arial"/>
                <w:b w:val="0"/>
                <w:webHidden/>
              </w:rPr>
              <w:fldChar w:fldCharType="end"/>
            </w:r>
          </w:hyperlink>
        </w:p>
        <w:p w14:paraId="21939D12" w14:textId="56D42EE0" w:rsidR="000F36C2" w:rsidRPr="000F36C2" w:rsidRDefault="0095620C">
          <w:pPr>
            <w:pStyle w:val="TOC1"/>
            <w:rPr>
              <w:rFonts w:ascii="Arial" w:eastAsiaTheme="minorEastAsia" w:hAnsi="Arial" w:cs="Arial"/>
              <w:b w:val="0"/>
              <w:lang w:val="en-US"/>
            </w:rPr>
          </w:pPr>
          <w:hyperlink w:anchor="_Toc141085128" w:history="1">
            <w:r w:rsidR="000F36C2" w:rsidRPr="000F36C2">
              <w:rPr>
                <w:rStyle w:val="Hyperlink"/>
                <w:rFonts w:ascii="Arial" w:hAnsi="Arial" w:cs="Arial"/>
                <w:b w:val="0"/>
              </w:rPr>
              <w:t>2</w:t>
            </w:r>
            <w:r w:rsidR="000F36C2" w:rsidRPr="000F36C2">
              <w:rPr>
                <w:rFonts w:ascii="Arial" w:eastAsiaTheme="minorEastAsia" w:hAnsi="Arial" w:cs="Arial"/>
                <w:b w:val="0"/>
                <w:lang w:val="en-US"/>
              </w:rPr>
              <w:tab/>
            </w:r>
            <w:r w:rsidR="000F36C2">
              <w:rPr>
                <w:rStyle w:val="Hyperlink"/>
                <w:rFonts w:ascii="Arial" w:hAnsi="Arial" w:cs="Arial"/>
                <w:b w:val="0"/>
              </w:rPr>
              <w:t>I</w:t>
            </w:r>
            <w:r w:rsidR="000F36C2" w:rsidRPr="000F36C2">
              <w:rPr>
                <w:rStyle w:val="Hyperlink"/>
                <w:rFonts w:ascii="Arial" w:hAnsi="Arial" w:cs="Arial"/>
                <w:b w:val="0"/>
              </w:rPr>
              <w:t>nquadramento idrografico dell’area</w:t>
            </w:r>
            <w:r w:rsidR="000F36C2" w:rsidRPr="000F36C2">
              <w:rPr>
                <w:rFonts w:ascii="Arial" w:hAnsi="Arial" w:cs="Arial"/>
                <w:b w:val="0"/>
                <w:webHidden/>
              </w:rPr>
              <w:tab/>
            </w:r>
            <w:r w:rsidR="000F36C2" w:rsidRPr="000F36C2">
              <w:rPr>
                <w:rFonts w:ascii="Arial" w:hAnsi="Arial" w:cs="Arial"/>
                <w:b w:val="0"/>
                <w:webHidden/>
              </w:rPr>
              <w:fldChar w:fldCharType="begin"/>
            </w:r>
            <w:r w:rsidR="000F36C2" w:rsidRPr="000F36C2">
              <w:rPr>
                <w:rFonts w:ascii="Arial" w:hAnsi="Arial" w:cs="Arial"/>
                <w:b w:val="0"/>
                <w:webHidden/>
              </w:rPr>
              <w:instrText xml:space="preserve"> PAGEREF _Toc141085128 \h </w:instrText>
            </w:r>
            <w:r w:rsidR="000F36C2" w:rsidRPr="000F36C2">
              <w:rPr>
                <w:rFonts w:ascii="Arial" w:hAnsi="Arial" w:cs="Arial"/>
                <w:b w:val="0"/>
                <w:webHidden/>
              </w:rPr>
            </w:r>
            <w:r w:rsidR="000F36C2" w:rsidRPr="000F36C2">
              <w:rPr>
                <w:rFonts w:ascii="Arial" w:hAnsi="Arial" w:cs="Arial"/>
                <w:b w:val="0"/>
                <w:webHidden/>
              </w:rPr>
              <w:fldChar w:fldCharType="separate"/>
            </w:r>
            <w:r>
              <w:rPr>
                <w:rFonts w:ascii="Arial" w:hAnsi="Arial" w:cs="Arial"/>
                <w:b w:val="0"/>
                <w:webHidden/>
              </w:rPr>
              <w:t>3</w:t>
            </w:r>
            <w:r w:rsidR="000F36C2" w:rsidRPr="000F36C2">
              <w:rPr>
                <w:rFonts w:ascii="Arial" w:hAnsi="Arial" w:cs="Arial"/>
                <w:b w:val="0"/>
                <w:webHidden/>
              </w:rPr>
              <w:fldChar w:fldCharType="end"/>
            </w:r>
          </w:hyperlink>
        </w:p>
        <w:p w14:paraId="36FD89EA" w14:textId="0542170F" w:rsidR="000F36C2" w:rsidRPr="000F36C2" w:rsidRDefault="0095620C">
          <w:pPr>
            <w:pStyle w:val="TOC1"/>
            <w:rPr>
              <w:rFonts w:ascii="Arial" w:eastAsiaTheme="minorEastAsia" w:hAnsi="Arial" w:cs="Arial"/>
              <w:b w:val="0"/>
              <w:lang w:val="en-US"/>
            </w:rPr>
          </w:pPr>
          <w:hyperlink w:anchor="_Toc141085129" w:history="1">
            <w:r w:rsidR="000F36C2" w:rsidRPr="000F36C2">
              <w:rPr>
                <w:rStyle w:val="Hyperlink"/>
                <w:rFonts w:ascii="Arial" w:hAnsi="Arial" w:cs="Arial"/>
                <w:b w:val="0"/>
              </w:rPr>
              <w:t>3</w:t>
            </w:r>
            <w:r w:rsidR="000F36C2" w:rsidRPr="000F36C2">
              <w:rPr>
                <w:rFonts w:ascii="Arial" w:eastAsiaTheme="minorEastAsia" w:hAnsi="Arial" w:cs="Arial"/>
                <w:b w:val="0"/>
                <w:lang w:val="en-US"/>
              </w:rPr>
              <w:tab/>
            </w:r>
            <w:r w:rsidR="000F36C2">
              <w:rPr>
                <w:rStyle w:val="Hyperlink"/>
                <w:rFonts w:ascii="Arial" w:hAnsi="Arial" w:cs="Arial"/>
                <w:b w:val="0"/>
              </w:rPr>
              <w:t>L</w:t>
            </w:r>
            <w:r w:rsidR="000F36C2" w:rsidRPr="000F36C2">
              <w:rPr>
                <w:rStyle w:val="Hyperlink"/>
                <w:rFonts w:ascii="Arial" w:hAnsi="Arial" w:cs="Arial"/>
                <w:b w:val="0"/>
              </w:rPr>
              <w:t>a pianificazione sovraordinata</w:t>
            </w:r>
            <w:r w:rsidR="000F36C2" w:rsidRPr="000F36C2">
              <w:rPr>
                <w:rFonts w:ascii="Arial" w:hAnsi="Arial" w:cs="Arial"/>
                <w:b w:val="0"/>
                <w:webHidden/>
              </w:rPr>
              <w:tab/>
            </w:r>
            <w:r w:rsidR="000F36C2" w:rsidRPr="000F36C2">
              <w:rPr>
                <w:rFonts w:ascii="Arial" w:hAnsi="Arial" w:cs="Arial"/>
                <w:b w:val="0"/>
                <w:webHidden/>
              </w:rPr>
              <w:fldChar w:fldCharType="begin"/>
            </w:r>
            <w:r w:rsidR="000F36C2" w:rsidRPr="000F36C2">
              <w:rPr>
                <w:rFonts w:ascii="Arial" w:hAnsi="Arial" w:cs="Arial"/>
                <w:b w:val="0"/>
                <w:webHidden/>
              </w:rPr>
              <w:instrText xml:space="preserve"> PAGEREF _Toc141085129 \h </w:instrText>
            </w:r>
            <w:r w:rsidR="000F36C2" w:rsidRPr="000F36C2">
              <w:rPr>
                <w:rFonts w:ascii="Arial" w:hAnsi="Arial" w:cs="Arial"/>
                <w:b w:val="0"/>
                <w:webHidden/>
              </w:rPr>
            </w:r>
            <w:r w:rsidR="000F36C2" w:rsidRPr="000F36C2">
              <w:rPr>
                <w:rFonts w:ascii="Arial" w:hAnsi="Arial" w:cs="Arial"/>
                <w:b w:val="0"/>
                <w:webHidden/>
              </w:rPr>
              <w:fldChar w:fldCharType="separate"/>
            </w:r>
            <w:r>
              <w:rPr>
                <w:rFonts w:ascii="Arial" w:hAnsi="Arial" w:cs="Arial"/>
                <w:b w:val="0"/>
                <w:webHidden/>
              </w:rPr>
              <w:t>5</w:t>
            </w:r>
            <w:r w:rsidR="000F36C2" w:rsidRPr="000F36C2">
              <w:rPr>
                <w:rFonts w:ascii="Arial" w:hAnsi="Arial" w:cs="Arial"/>
                <w:b w:val="0"/>
                <w:webHidden/>
              </w:rPr>
              <w:fldChar w:fldCharType="end"/>
            </w:r>
          </w:hyperlink>
        </w:p>
        <w:p w14:paraId="37A0AFB3" w14:textId="3CB12B89" w:rsidR="000F36C2" w:rsidRPr="000F36C2" w:rsidRDefault="0095620C">
          <w:pPr>
            <w:pStyle w:val="TOC2"/>
            <w:rPr>
              <w:rFonts w:ascii="Arial" w:eastAsiaTheme="minorEastAsia" w:hAnsi="Arial" w:cs="Arial"/>
              <w:lang w:val="en-US"/>
            </w:rPr>
          </w:pPr>
          <w:hyperlink w:anchor="_Toc141085130" w:history="1">
            <w:r w:rsidR="000F36C2" w:rsidRPr="000F36C2">
              <w:rPr>
                <w:rStyle w:val="Hyperlink"/>
                <w:rFonts w:ascii="Arial" w:hAnsi="Arial" w:cs="Arial"/>
              </w:rPr>
              <w:t>3.1</w:t>
            </w:r>
            <w:r w:rsidR="000F36C2" w:rsidRPr="000F36C2">
              <w:rPr>
                <w:rFonts w:ascii="Arial" w:eastAsiaTheme="minorEastAsia" w:hAnsi="Arial" w:cs="Arial"/>
                <w:lang w:val="en-US"/>
              </w:rPr>
              <w:tab/>
            </w:r>
            <w:r w:rsidR="000F36C2">
              <w:rPr>
                <w:rStyle w:val="Hyperlink"/>
                <w:rFonts w:ascii="Arial" w:eastAsia="Times New Roman" w:hAnsi="Arial" w:cs="Arial"/>
                <w:lang w:eastAsia="ar-SA"/>
              </w:rPr>
              <w:t>I</w:t>
            </w:r>
            <w:r w:rsidR="000F36C2" w:rsidRPr="000F36C2">
              <w:rPr>
                <w:rStyle w:val="Hyperlink"/>
                <w:rFonts w:ascii="Arial" w:eastAsia="Times New Roman" w:hAnsi="Arial" w:cs="Arial"/>
                <w:lang w:eastAsia="ar-SA"/>
              </w:rPr>
              <w:t>l pgra –</w:t>
            </w:r>
            <w:r w:rsidR="000F36C2" w:rsidRPr="000F36C2">
              <w:rPr>
                <w:rStyle w:val="Hyperlink"/>
                <w:rFonts w:ascii="Arial" w:hAnsi="Arial" w:cs="Arial"/>
              </w:rPr>
              <w:t xml:space="preserve"> </w:t>
            </w:r>
            <w:r w:rsidR="000F36C2" w:rsidRPr="000F36C2">
              <w:rPr>
                <w:rStyle w:val="Hyperlink"/>
                <w:rFonts w:ascii="Arial" w:eastAsia="Times New Roman" w:hAnsi="Arial" w:cs="Arial"/>
                <w:lang w:eastAsia="ar-SA"/>
              </w:rPr>
              <w:t>piano di gestione rischio alluvioni</w:t>
            </w:r>
            <w:r w:rsidR="000F36C2" w:rsidRPr="000F36C2">
              <w:rPr>
                <w:rFonts w:ascii="Arial" w:hAnsi="Arial" w:cs="Arial"/>
                <w:webHidden/>
              </w:rPr>
              <w:tab/>
            </w:r>
            <w:r w:rsidR="000F36C2" w:rsidRPr="000F36C2">
              <w:rPr>
                <w:rFonts w:ascii="Arial" w:hAnsi="Arial" w:cs="Arial"/>
                <w:webHidden/>
              </w:rPr>
              <w:fldChar w:fldCharType="begin"/>
            </w:r>
            <w:r w:rsidR="000F36C2" w:rsidRPr="000F36C2">
              <w:rPr>
                <w:rFonts w:ascii="Arial" w:hAnsi="Arial" w:cs="Arial"/>
                <w:webHidden/>
              </w:rPr>
              <w:instrText xml:space="preserve"> PAGEREF _Toc141085130 \h </w:instrText>
            </w:r>
            <w:r w:rsidR="000F36C2" w:rsidRPr="000F36C2">
              <w:rPr>
                <w:rFonts w:ascii="Arial" w:hAnsi="Arial" w:cs="Arial"/>
                <w:webHidden/>
              </w:rPr>
            </w:r>
            <w:r w:rsidR="000F36C2" w:rsidRPr="000F36C2">
              <w:rPr>
                <w:rFonts w:ascii="Arial" w:hAnsi="Arial" w:cs="Arial"/>
                <w:webHidden/>
              </w:rPr>
              <w:fldChar w:fldCharType="separate"/>
            </w:r>
            <w:r>
              <w:rPr>
                <w:rFonts w:ascii="Arial" w:hAnsi="Arial" w:cs="Arial"/>
                <w:webHidden/>
              </w:rPr>
              <w:t>7</w:t>
            </w:r>
            <w:r w:rsidR="000F36C2" w:rsidRPr="000F36C2">
              <w:rPr>
                <w:rFonts w:ascii="Arial" w:hAnsi="Arial" w:cs="Arial"/>
                <w:webHidden/>
              </w:rPr>
              <w:fldChar w:fldCharType="end"/>
            </w:r>
          </w:hyperlink>
        </w:p>
        <w:p w14:paraId="2A8129C4" w14:textId="7541BE4C" w:rsidR="000F36C2" w:rsidRPr="000F36C2" w:rsidRDefault="0095620C">
          <w:pPr>
            <w:pStyle w:val="TOC1"/>
            <w:rPr>
              <w:rFonts w:ascii="Arial" w:eastAsiaTheme="minorEastAsia" w:hAnsi="Arial" w:cs="Arial"/>
              <w:b w:val="0"/>
              <w:lang w:val="en-US"/>
            </w:rPr>
          </w:pPr>
          <w:hyperlink w:anchor="_Toc141085131" w:history="1">
            <w:r w:rsidR="000F36C2" w:rsidRPr="000F36C2">
              <w:rPr>
                <w:rStyle w:val="Hyperlink"/>
                <w:rFonts w:ascii="Arial" w:hAnsi="Arial" w:cs="Arial"/>
                <w:b w:val="0"/>
                <w:bCs/>
              </w:rPr>
              <w:t>4</w:t>
            </w:r>
            <w:r w:rsidR="000F36C2" w:rsidRPr="000F36C2">
              <w:rPr>
                <w:rFonts w:ascii="Arial" w:eastAsiaTheme="minorEastAsia" w:hAnsi="Arial" w:cs="Arial"/>
                <w:b w:val="0"/>
                <w:lang w:val="en-US"/>
              </w:rPr>
              <w:tab/>
            </w:r>
            <w:r w:rsidR="000F36C2">
              <w:rPr>
                <w:rStyle w:val="Hyperlink"/>
                <w:rFonts w:ascii="Arial" w:hAnsi="Arial" w:cs="Arial"/>
                <w:b w:val="0"/>
                <w:bCs/>
              </w:rPr>
              <w:t>O</w:t>
            </w:r>
            <w:r w:rsidR="000F36C2" w:rsidRPr="000F36C2">
              <w:rPr>
                <w:rStyle w:val="Hyperlink"/>
                <w:rFonts w:ascii="Arial" w:hAnsi="Arial" w:cs="Arial"/>
                <w:b w:val="0"/>
                <w:bCs/>
              </w:rPr>
              <w:t>biettivi e criteri della progettazione</w:t>
            </w:r>
            <w:r w:rsidR="000F36C2" w:rsidRPr="000F36C2">
              <w:rPr>
                <w:rFonts w:ascii="Arial" w:hAnsi="Arial" w:cs="Arial"/>
                <w:b w:val="0"/>
                <w:webHidden/>
              </w:rPr>
              <w:tab/>
            </w:r>
            <w:r w:rsidR="000F36C2" w:rsidRPr="000F36C2">
              <w:rPr>
                <w:rFonts w:ascii="Arial" w:hAnsi="Arial" w:cs="Arial"/>
                <w:b w:val="0"/>
                <w:webHidden/>
              </w:rPr>
              <w:fldChar w:fldCharType="begin"/>
            </w:r>
            <w:r w:rsidR="000F36C2" w:rsidRPr="000F36C2">
              <w:rPr>
                <w:rFonts w:ascii="Arial" w:hAnsi="Arial" w:cs="Arial"/>
                <w:b w:val="0"/>
                <w:webHidden/>
              </w:rPr>
              <w:instrText xml:space="preserve"> PAGEREF _Toc141085131 \h </w:instrText>
            </w:r>
            <w:r w:rsidR="000F36C2" w:rsidRPr="000F36C2">
              <w:rPr>
                <w:rFonts w:ascii="Arial" w:hAnsi="Arial" w:cs="Arial"/>
                <w:b w:val="0"/>
                <w:webHidden/>
              </w:rPr>
            </w:r>
            <w:r w:rsidR="000F36C2" w:rsidRPr="000F36C2">
              <w:rPr>
                <w:rFonts w:ascii="Arial" w:hAnsi="Arial" w:cs="Arial"/>
                <w:b w:val="0"/>
                <w:webHidden/>
              </w:rPr>
              <w:fldChar w:fldCharType="separate"/>
            </w:r>
            <w:r>
              <w:rPr>
                <w:rFonts w:ascii="Arial" w:hAnsi="Arial" w:cs="Arial"/>
                <w:b w:val="0"/>
                <w:webHidden/>
              </w:rPr>
              <w:t>10</w:t>
            </w:r>
            <w:r w:rsidR="000F36C2" w:rsidRPr="000F36C2">
              <w:rPr>
                <w:rFonts w:ascii="Arial" w:hAnsi="Arial" w:cs="Arial"/>
                <w:b w:val="0"/>
                <w:webHidden/>
              </w:rPr>
              <w:fldChar w:fldCharType="end"/>
            </w:r>
          </w:hyperlink>
        </w:p>
        <w:p w14:paraId="382BFF79" w14:textId="69D28E05" w:rsidR="000F36C2" w:rsidRPr="000F36C2" w:rsidRDefault="0095620C">
          <w:pPr>
            <w:pStyle w:val="TOC1"/>
            <w:rPr>
              <w:rFonts w:ascii="Arial" w:eastAsiaTheme="minorEastAsia" w:hAnsi="Arial" w:cs="Arial"/>
              <w:b w:val="0"/>
              <w:lang w:val="en-US"/>
            </w:rPr>
          </w:pPr>
          <w:hyperlink w:anchor="_Toc141085132" w:history="1">
            <w:r w:rsidR="000F36C2" w:rsidRPr="000F36C2">
              <w:rPr>
                <w:rStyle w:val="Hyperlink"/>
                <w:rFonts w:ascii="Arial" w:hAnsi="Arial" w:cs="Arial"/>
                <w:b w:val="0"/>
              </w:rPr>
              <w:t>4.1</w:t>
            </w:r>
            <w:r w:rsidR="000F36C2" w:rsidRPr="000F36C2">
              <w:rPr>
                <w:rFonts w:ascii="Arial" w:eastAsiaTheme="minorEastAsia" w:hAnsi="Arial" w:cs="Arial"/>
                <w:b w:val="0"/>
                <w:lang w:val="en-US"/>
              </w:rPr>
              <w:tab/>
            </w:r>
            <w:r w:rsidR="000F36C2">
              <w:rPr>
                <w:rStyle w:val="Hyperlink"/>
                <w:rFonts w:ascii="Arial" w:hAnsi="Arial" w:cs="Arial"/>
                <w:b w:val="0"/>
              </w:rPr>
              <w:t>C</w:t>
            </w:r>
            <w:r w:rsidR="000F36C2" w:rsidRPr="000F36C2">
              <w:rPr>
                <w:rStyle w:val="Hyperlink"/>
                <w:rFonts w:ascii="Arial" w:hAnsi="Arial" w:cs="Arial"/>
                <w:b w:val="0"/>
              </w:rPr>
              <w:t>ompatibilita’ idraulica</w:t>
            </w:r>
            <w:r w:rsidR="000F36C2" w:rsidRPr="000F36C2">
              <w:rPr>
                <w:rFonts w:ascii="Arial" w:hAnsi="Arial" w:cs="Arial"/>
                <w:b w:val="0"/>
                <w:webHidden/>
              </w:rPr>
              <w:tab/>
            </w:r>
            <w:r w:rsidR="000F36C2" w:rsidRPr="000F36C2">
              <w:rPr>
                <w:rFonts w:ascii="Arial" w:hAnsi="Arial" w:cs="Arial"/>
                <w:b w:val="0"/>
                <w:webHidden/>
              </w:rPr>
              <w:fldChar w:fldCharType="begin"/>
            </w:r>
            <w:r w:rsidR="000F36C2" w:rsidRPr="000F36C2">
              <w:rPr>
                <w:rFonts w:ascii="Arial" w:hAnsi="Arial" w:cs="Arial"/>
                <w:b w:val="0"/>
                <w:webHidden/>
              </w:rPr>
              <w:instrText xml:space="preserve"> PAGEREF _Toc141085132 \h </w:instrText>
            </w:r>
            <w:r w:rsidR="000F36C2" w:rsidRPr="000F36C2">
              <w:rPr>
                <w:rFonts w:ascii="Arial" w:hAnsi="Arial" w:cs="Arial"/>
                <w:b w:val="0"/>
                <w:webHidden/>
              </w:rPr>
            </w:r>
            <w:r w:rsidR="000F36C2" w:rsidRPr="000F36C2">
              <w:rPr>
                <w:rFonts w:ascii="Arial" w:hAnsi="Arial" w:cs="Arial"/>
                <w:b w:val="0"/>
                <w:webHidden/>
              </w:rPr>
              <w:fldChar w:fldCharType="separate"/>
            </w:r>
            <w:r>
              <w:rPr>
                <w:rFonts w:ascii="Arial" w:hAnsi="Arial" w:cs="Arial"/>
                <w:b w:val="0"/>
                <w:webHidden/>
              </w:rPr>
              <w:t>11</w:t>
            </w:r>
            <w:r w:rsidR="000F36C2" w:rsidRPr="000F36C2">
              <w:rPr>
                <w:rFonts w:ascii="Arial" w:hAnsi="Arial" w:cs="Arial"/>
                <w:b w:val="0"/>
                <w:webHidden/>
              </w:rPr>
              <w:fldChar w:fldCharType="end"/>
            </w:r>
          </w:hyperlink>
        </w:p>
        <w:p w14:paraId="0AF49270" w14:textId="71B731E3" w:rsidR="000F36C2" w:rsidRPr="000F36C2" w:rsidRDefault="0095620C">
          <w:pPr>
            <w:pStyle w:val="TOC3"/>
            <w:rPr>
              <w:rFonts w:ascii="Arial" w:eastAsiaTheme="minorEastAsia" w:hAnsi="Arial" w:cs="Arial"/>
              <w:lang w:val="en-US"/>
            </w:rPr>
          </w:pPr>
          <w:hyperlink w:anchor="_Toc141085133" w:history="1">
            <w:r w:rsidR="000F36C2" w:rsidRPr="000F36C2">
              <w:rPr>
                <w:rStyle w:val="Hyperlink"/>
                <w:rFonts w:ascii="Arial" w:hAnsi="Arial" w:cs="Arial"/>
              </w:rPr>
              <w:t>4.1.1</w:t>
            </w:r>
            <w:r w:rsidR="000F36C2" w:rsidRPr="000F36C2">
              <w:rPr>
                <w:rFonts w:ascii="Arial" w:eastAsiaTheme="minorEastAsia" w:hAnsi="Arial" w:cs="Arial"/>
                <w:lang w:val="en-US"/>
              </w:rPr>
              <w:tab/>
            </w:r>
            <w:r w:rsidR="000F36C2">
              <w:rPr>
                <w:rStyle w:val="Hyperlink"/>
                <w:rFonts w:ascii="Arial" w:hAnsi="Arial" w:cs="Arial"/>
              </w:rPr>
              <w:t>S</w:t>
            </w:r>
            <w:r w:rsidR="000F36C2" w:rsidRPr="000F36C2">
              <w:rPr>
                <w:rStyle w:val="Hyperlink"/>
                <w:rFonts w:ascii="Arial" w:hAnsi="Arial" w:cs="Arial"/>
              </w:rPr>
              <w:t>icurezza idraulica dell’infrastruttura</w:t>
            </w:r>
            <w:r w:rsidR="000F36C2" w:rsidRPr="000F36C2">
              <w:rPr>
                <w:rFonts w:ascii="Arial" w:hAnsi="Arial" w:cs="Arial"/>
                <w:webHidden/>
              </w:rPr>
              <w:tab/>
            </w:r>
            <w:r w:rsidR="000F36C2" w:rsidRPr="000F36C2">
              <w:rPr>
                <w:rFonts w:ascii="Arial" w:hAnsi="Arial" w:cs="Arial"/>
                <w:webHidden/>
              </w:rPr>
              <w:fldChar w:fldCharType="begin"/>
            </w:r>
            <w:r w:rsidR="000F36C2" w:rsidRPr="000F36C2">
              <w:rPr>
                <w:rFonts w:ascii="Arial" w:hAnsi="Arial" w:cs="Arial"/>
                <w:webHidden/>
              </w:rPr>
              <w:instrText xml:space="preserve"> PAGEREF _Toc141085133 \h </w:instrText>
            </w:r>
            <w:r w:rsidR="000F36C2" w:rsidRPr="000F36C2">
              <w:rPr>
                <w:rFonts w:ascii="Arial" w:hAnsi="Arial" w:cs="Arial"/>
                <w:webHidden/>
              </w:rPr>
            </w:r>
            <w:r w:rsidR="000F36C2" w:rsidRPr="000F36C2">
              <w:rPr>
                <w:rFonts w:ascii="Arial" w:hAnsi="Arial" w:cs="Arial"/>
                <w:webHidden/>
              </w:rPr>
              <w:fldChar w:fldCharType="separate"/>
            </w:r>
            <w:r>
              <w:rPr>
                <w:rFonts w:ascii="Arial" w:hAnsi="Arial" w:cs="Arial"/>
                <w:webHidden/>
              </w:rPr>
              <w:t>11</w:t>
            </w:r>
            <w:r w:rsidR="000F36C2" w:rsidRPr="000F36C2">
              <w:rPr>
                <w:rFonts w:ascii="Arial" w:hAnsi="Arial" w:cs="Arial"/>
                <w:webHidden/>
              </w:rPr>
              <w:fldChar w:fldCharType="end"/>
            </w:r>
          </w:hyperlink>
        </w:p>
        <w:p w14:paraId="63A27F1E" w14:textId="0A517BD7" w:rsidR="000F36C2" w:rsidRPr="000F36C2" w:rsidRDefault="0095620C">
          <w:pPr>
            <w:pStyle w:val="TOC3"/>
            <w:rPr>
              <w:rFonts w:ascii="Arial" w:eastAsiaTheme="minorEastAsia" w:hAnsi="Arial" w:cs="Arial"/>
              <w:lang w:val="en-US"/>
            </w:rPr>
          </w:pPr>
          <w:hyperlink w:anchor="_Toc141085134" w:history="1">
            <w:r w:rsidR="000F36C2" w:rsidRPr="000F36C2">
              <w:rPr>
                <w:rStyle w:val="Hyperlink"/>
                <w:rFonts w:ascii="Arial" w:hAnsi="Arial" w:cs="Arial"/>
              </w:rPr>
              <w:t>4.1.2</w:t>
            </w:r>
            <w:r w:rsidR="000F36C2" w:rsidRPr="000F36C2">
              <w:rPr>
                <w:rFonts w:ascii="Arial" w:eastAsiaTheme="minorEastAsia" w:hAnsi="Arial" w:cs="Arial"/>
                <w:lang w:val="en-US"/>
              </w:rPr>
              <w:tab/>
            </w:r>
            <w:r w:rsidR="000F36C2">
              <w:rPr>
                <w:rStyle w:val="Hyperlink"/>
                <w:rFonts w:ascii="Arial" w:hAnsi="Arial" w:cs="Arial"/>
              </w:rPr>
              <w:t>I</w:t>
            </w:r>
            <w:r w:rsidR="000F36C2" w:rsidRPr="000F36C2">
              <w:rPr>
                <w:rStyle w:val="Hyperlink"/>
                <w:rFonts w:ascii="Arial" w:hAnsi="Arial" w:cs="Arial"/>
              </w:rPr>
              <w:t>nvarianza idraulica</w:t>
            </w:r>
            <w:r w:rsidR="000F36C2" w:rsidRPr="000F36C2">
              <w:rPr>
                <w:rFonts w:ascii="Arial" w:hAnsi="Arial" w:cs="Arial"/>
                <w:webHidden/>
              </w:rPr>
              <w:tab/>
            </w:r>
            <w:r w:rsidR="000F36C2" w:rsidRPr="000F36C2">
              <w:rPr>
                <w:rFonts w:ascii="Arial" w:hAnsi="Arial" w:cs="Arial"/>
                <w:webHidden/>
              </w:rPr>
              <w:fldChar w:fldCharType="begin"/>
            </w:r>
            <w:r w:rsidR="000F36C2" w:rsidRPr="000F36C2">
              <w:rPr>
                <w:rFonts w:ascii="Arial" w:hAnsi="Arial" w:cs="Arial"/>
                <w:webHidden/>
              </w:rPr>
              <w:instrText xml:space="preserve"> PAGEREF _Toc141085134 \h </w:instrText>
            </w:r>
            <w:r w:rsidR="000F36C2" w:rsidRPr="000F36C2">
              <w:rPr>
                <w:rFonts w:ascii="Arial" w:hAnsi="Arial" w:cs="Arial"/>
                <w:webHidden/>
              </w:rPr>
            </w:r>
            <w:r w:rsidR="000F36C2" w:rsidRPr="000F36C2">
              <w:rPr>
                <w:rFonts w:ascii="Arial" w:hAnsi="Arial" w:cs="Arial"/>
                <w:webHidden/>
              </w:rPr>
              <w:fldChar w:fldCharType="separate"/>
            </w:r>
            <w:r>
              <w:rPr>
                <w:rFonts w:ascii="Arial" w:hAnsi="Arial" w:cs="Arial"/>
                <w:webHidden/>
              </w:rPr>
              <w:t>11</w:t>
            </w:r>
            <w:r w:rsidR="000F36C2" w:rsidRPr="000F36C2">
              <w:rPr>
                <w:rFonts w:ascii="Arial" w:hAnsi="Arial" w:cs="Arial"/>
                <w:webHidden/>
              </w:rPr>
              <w:fldChar w:fldCharType="end"/>
            </w:r>
          </w:hyperlink>
        </w:p>
        <w:p w14:paraId="6BF39715" w14:textId="2D75286A" w:rsidR="000F36C2" w:rsidRPr="000F36C2" w:rsidRDefault="0095620C">
          <w:pPr>
            <w:pStyle w:val="TOC2"/>
            <w:rPr>
              <w:rFonts w:ascii="Arial" w:eastAsiaTheme="minorEastAsia" w:hAnsi="Arial" w:cs="Arial"/>
              <w:lang w:val="en-US"/>
            </w:rPr>
          </w:pPr>
          <w:hyperlink w:anchor="_Toc141085135" w:history="1">
            <w:r w:rsidR="000F36C2" w:rsidRPr="000F36C2">
              <w:rPr>
                <w:rStyle w:val="Hyperlink"/>
                <w:rFonts w:ascii="Arial" w:hAnsi="Arial" w:cs="Arial"/>
              </w:rPr>
              <w:t>4.2</w:t>
            </w:r>
            <w:r w:rsidR="000F36C2" w:rsidRPr="000F36C2">
              <w:rPr>
                <w:rFonts w:ascii="Arial" w:eastAsiaTheme="minorEastAsia" w:hAnsi="Arial" w:cs="Arial"/>
                <w:lang w:val="en-US"/>
              </w:rPr>
              <w:tab/>
            </w:r>
            <w:r w:rsidR="000F36C2">
              <w:rPr>
                <w:rStyle w:val="Hyperlink"/>
                <w:rFonts w:ascii="Arial" w:hAnsi="Arial" w:cs="Arial"/>
              </w:rPr>
              <w:t>G</w:t>
            </w:r>
            <w:r w:rsidR="000F36C2" w:rsidRPr="000F36C2">
              <w:rPr>
                <w:rStyle w:val="Hyperlink"/>
                <w:rFonts w:ascii="Arial" w:hAnsi="Arial" w:cs="Arial"/>
              </w:rPr>
              <w:t>estione delle interferenze con il reticolo idrografico</w:t>
            </w:r>
            <w:r w:rsidR="000F36C2" w:rsidRPr="000F36C2">
              <w:rPr>
                <w:rFonts w:ascii="Arial" w:hAnsi="Arial" w:cs="Arial"/>
                <w:webHidden/>
              </w:rPr>
              <w:tab/>
            </w:r>
            <w:r w:rsidR="000F36C2" w:rsidRPr="000F36C2">
              <w:rPr>
                <w:rFonts w:ascii="Arial" w:hAnsi="Arial" w:cs="Arial"/>
                <w:webHidden/>
              </w:rPr>
              <w:fldChar w:fldCharType="begin"/>
            </w:r>
            <w:r w:rsidR="000F36C2" w:rsidRPr="000F36C2">
              <w:rPr>
                <w:rFonts w:ascii="Arial" w:hAnsi="Arial" w:cs="Arial"/>
                <w:webHidden/>
              </w:rPr>
              <w:instrText xml:space="preserve"> PAGEREF _Toc141085135 \h </w:instrText>
            </w:r>
            <w:r w:rsidR="000F36C2" w:rsidRPr="000F36C2">
              <w:rPr>
                <w:rFonts w:ascii="Arial" w:hAnsi="Arial" w:cs="Arial"/>
                <w:webHidden/>
              </w:rPr>
            </w:r>
            <w:r w:rsidR="000F36C2" w:rsidRPr="000F36C2">
              <w:rPr>
                <w:rFonts w:ascii="Arial" w:hAnsi="Arial" w:cs="Arial"/>
                <w:webHidden/>
              </w:rPr>
              <w:fldChar w:fldCharType="separate"/>
            </w:r>
            <w:r>
              <w:rPr>
                <w:rFonts w:ascii="Arial" w:hAnsi="Arial" w:cs="Arial"/>
                <w:webHidden/>
              </w:rPr>
              <w:t>12</w:t>
            </w:r>
            <w:r w:rsidR="000F36C2" w:rsidRPr="000F36C2">
              <w:rPr>
                <w:rFonts w:ascii="Arial" w:hAnsi="Arial" w:cs="Arial"/>
                <w:webHidden/>
              </w:rPr>
              <w:fldChar w:fldCharType="end"/>
            </w:r>
          </w:hyperlink>
        </w:p>
        <w:p w14:paraId="7AF80420" w14:textId="3B67D083" w:rsidR="000F36C2" w:rsidRPr="000F36C2" w:rsidRDefault="0095620C">
          <w:pPr>
            <w:pStyle w:val="TOC2"/>
            <w:rPr>
              <w:rFonts w:ascii="Arial" w:eastAsiaTheme="minorEastAsia" w:hAnsi="Arial" w:cs="Arial"/>
              <w:lang w:val="en-US"/>
            </w:rPr>
          </w:pPr>
          <w:hyperlink w:anchor="_Toc141085136" w:history="1">
            <w:r w:rsidR="000F36C2" w:rsidRPr="000F36C2">
              <w:rPr>
                <w:rStyle w:val="Hyperlink"/>
                <w:rFonts w:ascii="Arial" w:hAnsi="Arial" w:cs="Arial"/>
              </w:rPr>
              <w:t>4.3</w:t>
            </w:r>
            <w:r w:rsidR="000F36C2" w:rsidRPr="000F36C2">
              <w:rPr>
                <w:rFonts w:ascii="Arial" w:eastAsiaTheme="minorEastAsia" w:hAnsi="Arial" w:cs="Arial"/>
                <w:lang w:val="en-US"/>
              </w:rPr>
              <w:tab/>
            </w:r>
            <w:r w:rsidR="000F36C2">
              <w:rPr>
                <w:rStyle w:val="Hyperlink"/>
                <w:rFonts w:ascii="Arial" w:hAnsi="Arial" w:cs="Arial"/>
              </w:rPr>
              <w:t>D</w:t>
            </w:r>
            <w:r w:rsidR="000F36C2" w:rsidRPr="000F36C2">
              <w:rPr>
                <w:rStyle w:val="Hyperlink"/>
                <w:rFonts w:ascii="Arial" w:hAnsi="Arial" w:cs="Arial"/>
              </w:rPr>
              <w:t>renaggio e gestione delle acque di piattaforma</w:t>
            </w:r>
            <w:r w:rsidR="000F36C2" w:rsidRPr="000F36C2">
              <w:rPr>
                <w:rFonts w:ascii="Arial" w:hAnsi="Arial" w:cs="Arial"/>
                <w:webHidden/>
              </w:rPr>
              <w:tab/>
            </w:r>
            <w:r w:rsidR="000F36C2" w:rsidRPr="000F36C2">
              <w:rPr>
                <w:rFonts w:ascii="Arial" w:hAnsi="Arial" w:cs="Arial"/>
                <w:webHidden/>
              </w:rPr>
              <w:fldChar w:fldCharType="begin"/>
            </w:r>
            <w:r w:rsidR="000F36C2" w:rsidRPr="000F36C2">
              <w:rPr>
                <w:rFonts w:ascii="Arial" w:hAnsi="Arial" w:cs="Arial"/>
                <w:webHidden/>
              </w:rPr>
              <w:instrText xml:space="preserve"> PAGEREF _Toc141085136 \h </w:instrText>
            </w:r>
            <w:r w:rsidR="000F36C2" w:rsidRPr="000F36C2">
              <w:rPr>
                <w:rFonts w:ascii="Arial" w:hAnsi="Arial" w:cs="Arial"/>
                <w:webHidden/>
              </w:rPr>
            </w:r>
            <w:r w:rsidR="000F36C2" w:rsidRPr="000F36C2">
              <w:rPr>
                <w:rFonts w:ascii="Arial" w:hAnsi="Arial" w:cs="Arial"/>
                <w:webHidden/>
              </w:rPr>
              <w:fldChar w:fldCharType="separate"/>
            </w:r>
            <w:r>
              <w:rPr>
                <w:rFonts w:ascii="Arial" w:hAnsi="Arial" w:cs="Arial"/>
                <w:webHidden/>
              </w:rPr>
              <w:t>13</w:t>
            </w:r>
            <w:r w:rsidR="000F36C2" w:rsidRPr="000F36C2">
              <w:rPr>
                <w:rFonts w:ascii="Arial" w:hAnsi="Arial" w:cs="Arial"/>
                <w:webHidden/>
              </w:rPr>
              <w:fldChar w:fldCharType="end"/>
            </w:r>
          </w:hyperlink>
        </w:p>
        <w:p w14:paraId="774C4BEF" w14:textId="01A2C154" w:rsidR="0019162B" w:rsidRDefault="0019162B" w:rsidP="0019162B">
          <w:r>
            <w:rPr>
              <w:b/>
              <w:bCs/>
              <w:noProof/>
            </w:rPr>
            <w:fldChar w:fldCharType="end"/>
          </w:r>
        </w:p>
      </w:sdtContent>
    </w:sdt>
    <w:p w14:paraId="0CEFACEC" w14:textId="77777777" w:rsidR="0019162B" w:rsidRPr="0019162B" w:rsidRDefault="0019162B" w:rsidP="0019162B">
      <w:pPr>
        <w:rPr>
          <w:rFonts w:ascii="Arial" w:eastAsiaTheme="majorEastAsia" w:hAnsi="Arial" w:cs="Arial"/>
          <w:sz w:val="28"/>
          <w:szCs w:val="28"/>
          <w:lang w:eastAsia="it-IT"/>
        </w:rPr>
      </w:pPr>
    </w:p>
    <w:p w14:paraId="07E09BEF" w14:textId="52DD6DFE" w:rsidR="0019162B" w:rsidRPr="00F9391B" w:rsidRDefault="0019162B" w:rsidP="0019162B">
      <w:r w:rsidRPr="00F9391B">
        <w:br w:type="page"/>
      </w:r>
    </w:p>
    <w:p w14:paraId="4ECAE25C" w14:textId="77777777" w:rsidR="0019162B" w:rsidRPr="00F9391B" w:rsidRDefault="0019162B" w:rsidP="0019162B">
      <w:pPr>
        <w:pStyle w:val="3TI-JLTTitolo1"/>
        <w:numPr>
          <w:ilvl w:val="0"/>
          <w:numId w:val="1"/>
        </w:numPr>
        <w:ind w:left="1134" w:hanging="1134"/>
      </w:pPr>
      <w:bookmarkStart w:id="1" w:name="_Toc141085127"/>
      <w:r w:rsidRPr="0019162B">
        <w:lastRenderedPageBreak/>
        <w:t>PREMESSA</w:t>
      </w:r>
      <w:bookmarkEnd w:id="0"/>
      <w:bookmarkEnd w:id="1"/>
    </w:p>
    <w:p w14:paraId="585AC8A6" w14:textId="77777777" w:rsidR="0019162B" w:rsidRDefault="0019162B" w:rsidP="0019162B">
      <w:pPr>
        <w:pStyle w:val="Caption"/>
        <w:spacing w:after="0"/>
        <w:rPr>
          <w:iCs/>
        </w:rPr>
      </w:pPr>
      <w:r w:rsidRPr="00F9391B">
        <w:rPr>
          <w:iCs/>
        </w:rPr>
        <w:t>La presente “</w:t>
      </w:r>
      <w:r w:rsidRPr="00532FC1">
        <w:rPr>
          <w:i/>
        </w:rPr>
        <w:t>Relazione Idrologica e Idraulica</w:t>
      </w:r>
      <w:r>
        <w:rPr>
          <w:i/>
        </w:rPr>
        <w:t>”</w:t>
      </w:r>
      <w:r w:rsidRPr="00F9391B">
        <w:rPr>
          <w:iCs/>
        </w:rPr>
        <w:t>” riguarda l</w:t>
      </w:r>
      <w:r>
        <w:rPr>
          <w:iCs/>
        </w:rPr>
        <w:t>a definizione delle</w:t>
      </w:r>
      <w:r w:rsidRPr="00F9391B">
        <w:rPr>
          <w:iCs/>
        </w:rPr>
        <w:t xml:space="preserve"> scelte tipologiche e progettuali</w:t>
      </w:r>
      <w:r>
        <w:rPr>
          <w:iCs/>
        </w:rPr>
        <w:t xml:space="preserve"> </w:t>
      </w:r>
      <w:r w:rsidRPr="00F9391B">
        <w:rPr>
          <w:iCs/>
        </w:rPr>
        <w:t>delle opere idrauliche</w:t>
      </w:r>
      <w:r>
        <w:rPr>
          <w:iCs/>
        </w:rPr>
        <w:t xml:space="preserve"> che dovranno essere sviluppate nelle successive fasi progettuali della nuova bretella extraurbana che collegherà la zona industriale di San Marco allo svincolo autostradale di Porto Sant’Elpidio.</w:t>
      </w:r>
    </w:p>
    <w:p w14:paraId="2DD0715B" w14:textId="77777777" w:rsidR="0019162B" w:rsidRDefault="0019162B" w:rsidP="0019162B">
      <w:pPr>
        <w:keepNext/>
      </w:pPr>
      <w:r>
        <w:rPr>
          <w:noProof/>
        </w:rPr>
        <w:drawing>
          <wp:inline distT="0" distB="0" distL="0" distR="0" wp14:anchorId="45FF6B8E" wp14:editId="72CDFDBA">
            <wp:extent cx="6120130" cy="3708400"/>
            <wp:effectExtent l="0" t="0" r="0" b="6350"/>
            <wp:docPr id="491292073" name="Immagine 1" descr="Immagine che contiene testo, mappa,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292073" name="Immagine 1" descr="Immagine che contiene testo, mappa, atlante&#10;&#10;Descrizione generata automaticamente"/>
                    <pic:cNvPicPr/>
                  </pic:nvPicPr>
                  <pic:blipFill>
                    <a:blip r:embed="rId8"/>
                    <a:stretch>
                      <a:fillRect/>
                    </a:stretch>
                  </pic:blipFill>
                  <pic:spPr>
                    <a:xfrm>
                      <a:off x="0" y="0"/>
                      <a:ext cx="6120130" cy="3708400"/>
                    </a:xfrm>
                    <a:prstGeom prst="rect">
                      <a:avLst/>
                    </a:prstGeom>
                  </pic:spPr>
                </pic:pic>
              </a:graphicData>
            </a:graphic>
          </wp:inline>
        </w:drawing>
      </w:r>
    </w:p>
    <w:p w14:paraId="30997CDD" w14:textId="20C2DC7D" w:rsidR="0019162B" w:rsidRDefault="0019162B" w:rsidP="0019162B">
      <w:pPr>
        <w:pStyle w:val="Caption"/>
        <w:jc w:val="center"/>
      </w:pPr>
      <w:r>
        <w:t xml:space="preserve">Figura </w:t>
      </w:r>
      <w:fldSimple w:instr=" SEQ Figura \* ARABIC ">
        <w:r w:rsidR="0095620C">
          <w:rPr>
            <w:noProof/>
          </w:rPr>
          <w:t>1</w:t>
        </w:r>
      </w:fldSimple>
      <w:r>
        <w:t xml:space="preserve"> – Inquadramento dell’area </w:t>
      </w:r>
    </w:p>
    <w:p w14:paraId="0B57E4BC" w14:textId="77777777" w:rsidR="0019162B" w:rsidRPr="00765F4B" w:rsidRDefault="0019162B" w:rsidP="0019162B">
      <w:pPr>
        <w:rPr>
          <w:lang w:eastAsia="it-IT"/>
        </w:rPr>
      </w:pPr>
    </w:p>
    <w:p w14:paraId="45EEA77C" w14:textId="77777777" w:rsidR="0019162B" w:rsidRPr="000F0D60" w:rsidRDefault="0019162B" w:rsidP="0019162B">
      <w:pPr>
        <w:rPr>
          <w:lang w:eastAsia="it-IT"/>
        </w:rPr>
      </w:pPr>
    </w:p>
    <w:p w14:paraId="6F9C19CF" w14:textId="77777777" w:rsidR="0019162B" w:rsidRDefault="0019162B" w:rsidP="0019162B">
      <w:pPr>
        <w:rPr>
          <w:iCs/>
        </w:rPr>
      </w:pPr>
    </w:p>
    <w:p w14:paraId="52970B44" w14:textId="77777777" w:rsidR="0019162B" w:rsidRDefault="0019162B" w:rsidP="0019162B">
      <w:pPr>
        <w:rPr>
          <w:iCs/>
        </w:rPr>
      </w:pPr>
    </w:p>
    <w:p w14:paraId="07980D4B" w14:textId="77777777" w:rsidR="0019162B" w:rsidRDefault="0019162B" w:rsidP="0019162B">
      <w:pPr>
        <w:rPr>
          <w:iCs/>
        </w:rPr>
      </w:pPr>
    </w:p>
    <w:p w14:paraId="6F42A4B3" w14:textId="77777777" w:rsidR="0019162B" w:rsidRPr="00F9391B" w:rsidRDefault="0019162B" w:rsidP="0019162B">
      <w:pPr>
        <w:spacing w:after="200" w:line="276" w:lineRule="auto"/>
        <w:jc w:val="left"/>
        <w:rPr>
          <w:iCs/>
        </w:rPr>
      </w:pPr>
      <w:r w:rsidRPr="00F9391B">
        <w:rPr>
          <w:iCs/>
        </w:rPr>
        <w:br w:type="page"/>
      </w:r>
    </w:p>
    <w:p w14:paraId="6AB5588B" w14:textId="77777777" w:rsidR="0019162B" w:rsidRPr="00F9391B" w:rsidRDefault="0019162B" w:rsidP="0019162B">
      <w:pPr>
        <w:pStyle w:val="3TI-JLTTitolo1"/>
        <w:numPr>
          <w:ilvl w:val="0"/>
          <w:numId w:val="1"/>
        </w:numPr>
        <w:ind w:left="1134" w:hanging="1134"/>
      </w:pPr>
      <w:bookmarkStart w:id="2" w:name="_Toc141085128"/>
      <w:r w:rsidRPr="00F9391B">
        <w:rPr>
          <w:caps w:val="0"/>
        </w:rPr>
        <w:lastRenderedPageBreak/>
        <w:t>INQUADRAMENTO</w:t>
      </w:r>
      <w:r>
        <w:rPr>
          <w:caps w:val="0"/>
        </w:rPr>
        <w:t xml:space="preserve"> IDROGRAFICO</w:t>
      </w:r>
      <w:r w:rsidRPr="00F9391B">
        <w:rPr>
          <w:caps w:val="0"/>
        </w:rPr>
        <w:t xml:space="preserve"> DELL’AREA</w:t>
      </w:r>
      <w:bookmarkEnd w:id="2"/>
    </w:p>
    <w:p w14:paraId="4A12AD87" w14:textId="77777777" w:rsidR="0019162B" w:rsidRPr="0019162B" w:rsidRDefault="0019162B" w:rsidP="0019162B">
      <w:pPr>
        <w:spacing w:after="0"/>
        <w:rPr>
          <w:rStyle w:val="CaptionChar"/>
          <w:rFonts w:eastAsiaTheme="minorHAnsi"/>
        </w:rPr>
      </w:pPr>
      <w:r w:rsidRPr="0019162B">
        <w:rPr>
          <w:rStyle w:val="CaptionChar"/>
          <w:rFonts w:eastAsiaTheme="minorHAnsi"/>
        </w:rPr>
        <w:t xml:space="preserve">L’intervento prevede la realizzazione di un nuovo asse viario di collegamento tra la zona industriale di San Marco e lo svincolo autostradale di Porto Sant’Elpidio, nel comune di Fermo. Il nuovo tracciato inizia dal raccordo con la SP204 </w:t>
      </w:r>
      <w:proofErr w:type="spellStart"/>
      <w:r w:rsidRPr="0019162B">
        <w:rPr>
          <w:rStyle w:val="CaptionChar"/>
          <w:rFonts w:eastAsiaTheme="minorHAnsi"/>
        </w:rPr>
        <w:t>Lungoterna</w:t>
      </w:r>
      <w:proofErr w:type="spellEnd"/>
      <w:r w:rsidRPr="0019162B">
        <w:rPr>
          <w:rStyle w:val="CaptionChar"/>
          <w:rFonts w:eastAsiaTheme="minorHAnsi"/>
        </w:rPr>
        <w:t xml:space="preserve"> per poi inoltrarsi, verso nord, in direzione del Fiume Tenna, per poi attraversarlo ed infine raccordarsi all’esistente bretella della SP28 </w:t>
      </w:r>
      <w:proofErr w:type="spellStart"/>
      <w:r w:rsidRPr="0019162B">
        <w:rPr>
          <w:rStyle w:val="CaptionChar"/>
          <w:rFonts w:eastAsiaTheme="minorHAnsi"/>
        </w:rPr>
        <w:t>Faleriense</w:t>
      </w:r>
      <w:proofErr w:type="spellEnd"/>
      <w:r w:rsidRPr="0019162B">
        <w:rPr>
          <w:rStyle w:val="CaptionChar"/>
          <w:rFonts w:eastAsiaTheme="minorHAnsi"/>
        </w:rPr>
        <w:t xml:space="preserve"> di collegamento all’uscita autostradale di Porto Sant’Elpidio.</w:t>
      </w:r>
    </w:p>
    <w:p w14:paraId="4997F680" w14:textId="77777777" w:rsidR="0019162B" w:rsidRPr="0019162B" w:rsidRDefault="0019162B" w:rsidP="0019162B">
      <w:pPr>
        <w:spacing w:after="0"/>
        <w:rPr>
          <w:rStyle w:val="CaptionChar"/>
          <w:rFonts w:eastAsiaTheme="minorHAnsi"/>
        </w:rPr>
      </w:pPr>
      <w:r w:rsidRPr="0019162B">
        <w:rPr>
          <w:rStyle w:val="CaptionChar"/>
          <w:rFonts w:eastAsiaTheme="minorHAnsi"/>
        </w:rPr>
        <w:t>La presente fase progettuale analizza due possibili tracciati, che differiscono nella direzione di attraversamento del Fiume Tenna, con la conseguente differenza di tracciato planimetrico in termini di approccio alla sovrastruttura.</w:t>
      </w:r>
    </w:p>
    <w:p w14:paraId="65D859E6" w14:textId="77777777" w:rsidR="0019162B" w:rsidRPr="00F9391B" w:rsidRDefault="0019162B" w:rsidP="0019162B">
      <w:pPr>
        <w:keepNext/>
      </w:pPr>
      <w:r>
        <w:rPr>
          <w:noProof/>
        </w:rPr>
        <w:drawing>
          <wp:inline distT="0" distB="0" distL="0" distR="0" wp14:anchorId="638BABEC" wp14:editId="004F778C">
            <wp:extent cx="6120130" cy="3904615"/>
            <wp:effectExtent l="0" t="0" r="0" b="635"/>
            <wp:docPr id="1862384936" name="Immagine 1" descr="Immagine che contiene Aerofotogrammetria, Vista aerea, aereo,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384936" name="Immagine 1" descr="Immagine che contiene Aerofotogrammetria, Vista aerea, aereo, testo&#10;&#10;Descrizione generata automaticamente"/>
                    <pic:cNvPicPr/>
                  </pic:nvPicPr>
                  <pic:blipFill>
                    <a:blip r:embed="rId9"/>
                    <a:stretch>
                      <a:fillRect/>
                    </a:stretch>
                  </pic:blipFill>
                  <pic:spPr>
                    <a:xfrm>
                      <a:off x="0" y="0"/>
                      <a:ext cx="6120130" cy="3904615"/>
                    </a:xfrm>
                    <a:prstGeom prst="rect">
                      <a:avLst/>
                    </a:prstGeom>
                  </pic:spPr>
                </pic:pic>
              </a:graphicData>
            </a:graphic>
          </wp:inline>
        </w:drawing>
      </w:r>
    </w:p>
    <w:p w14:paraId="37FDBEBF" w14:textId="757295EE" w:rsidR="0019162B" w:rsidRPr="00F9391B" w:rsidRDefault="0019162B" w:rsidP="0019162B">
      <w:pPr>
        <w:pStyle w:val="Caption"/>
        <w:jc w:val="center"/>
      </w:pPr>
      <w:proofErr w:type="spellStart"/>
      <w:r w:rsidRPr="0095620C">
        <w:rPr>
          <w:lang w:val="en-US"/>
        </w:rPr>
        <w:t>Figura</w:t>
      </w:r>
      <w:proofErr w:type="spellEnd"/>
      <w:r w:rsidRPr="0095620C">
        <w:rPr>
          <w:lang w:val="en-US"/>
        </w:rPr>
        <w:t xml:space="preserve"> </w:t>
      </w:r>
      <w:r>
        <w:fldChar w:fldCharType="begin"/>
      </w:r>
      <w:r w:rsidRPr="0095620C">
        <w:rPr>
          <w:lang w:val="en-US"/>
        </w:rPr>
        <w:instrText xml:space="preserve"> STYLEREF 1 \s </w:instrText>
      </w:r>
      <w:r>
        <w:fldChar w:fldCharType="separate"/>
      </w:r>
      <w:r w:rsidR="0095620C">
        <w:rPr>
          <w:b/>
          <w:bCs/>
          <w:noProof/>
          <w:lang w:val="en-US"/>
        </w:rPr>
        <w:t>Error! No text of specified style in document.</w:t>
      </w:r>
      <w:r>
        <w:rPr>
          <w:noProof/>
        </w:rPr>
        <w:fldChar w:fldCharType="end"/>
      </w:r>
      <w:r w:rsidRPr="0095620C">
        <w:rPr>
          <w:lang w:val="en-US"/>
        </w:rPr>
        <w:t>.</w:t>
      </w:r>
      <w:r>
        <w:fldChar w:fldCharType="begin"/>
      </w:r>
      <w:r w:rsidRPr="0095620C">
        <w:rPr>
          <w:lang w:val="en-US"/>
        </w:rPr>
        <w:instrText xml:space="preserve"> SEQ Figura \* ARABIC \s 1 </w:instrText>
      </w:r>
      <w:r>
        <w:fldChar w:fldCharType="separate"/>
      </w:r>
      <w:r w:rsidR="0095620C">
        <w:rPr>
          <w:noProof/>
          <w:lang w:val="en-US"/>
        </w:rPr>
        <w:t>2</w:t>
      </w:r>
      <w:r>
        <w:rPr>
          <w:noProof/>
        </w:rPr>
        <w:fldChar w:fldCharType="end"/>
      </w:r>
      <w:r w:rsidRPr="00F9391B">
        <w:t>- Inquadramento dell'opera</w:t>
      </w:r>
      <w:r>
        <w:t xml:space="preserve"> nel reticolo idrografico</w:t>
      </w:r>
    </w:p>
    <w:p w14:paraId="1C8B7856" w14:textId="77777777" w:rsidR="0019162B" w:rsidRPr="0019162B" w:rsidRDefault="0019162B" w:rsidP="0019162B">
      <w:pPr>
        <w:spacing w:after="0"/>
        <w:rPr>
          <w:rStyle w:val="CaptionChar"/>
          <w:rFonts w:eastAsiaTheme="minorHAnsi"/>
        </w:rPr>
      </w:pPr>
      <w:r w:rsidRPr="0019162B">
        <w:rPr>
          <w:rStyle w:val="CaptionChar"/>
          <w:rFonts w:eastAsiaTheme="minorHAnsi"/>
        </w:rPr>
        <w:lastRenderedPageBreak/>
        <w:t>L’area interessata dall’opera in progetto è pianeggiante, caratterizzata dalla presenza di un reticolo di bonifica e corsi d’acqua censiti nel reticolo idrografico regionale. L’uso del suolo in questa area è prevalentemente agricolo, con la presenza molto estesa di campi coltivati intorno ai piccoli abitati.</w:t>
      </w:r>
    </w:p>
    <w:p w14:paraId="2D9431A4" w14:textId="77777777" w:rsidR="0019162B" w:rsidRPr="0019162B" w:rsidRDefault="0019162B" w:rsidP="0019162B">
      <w:pPr>
        <w:spacing w:after="0"/>
        <w:rPr>
          <w:rStyle w:val="CaptionChar"/>
          <w:rFonts w:eastAsiaTheme="minorHAnsi"/>
        </w:rPr>
      </w:pPr>
      <w:r w:rsidRPr="0019162B">
        <w:rPr>
          <w:rStyle w:val="CaptionChar"/>
          <w:rFonts w:eastAsiaTheme="minorHAnsi"/>
        </w:rPr>
        <w:t>In merito all’amministrazione consortile, l’area interessata alla progettazione rientra nel Comprensorio D del Consorzio di Bonifica delle Marche. Dal SIT del consorzio non si ha evidenza della presenza di un reticolo idrografica in diretta gestione al consorzio.</w:t>
      </w:r>
    </w:p>
    <w:p w14:paraId="29413579" w14:textId="77777777" w:rsidR="0019162B" w:rsidRDefault="0019162B" w:rsidP="0019162B">
      <w:pPr>
        <w:keepNext/>
      </w:pPr>
      <w:r>
        <w:rPr>
          <w:noProof/>
        </w:rPr>
        <w:drawing>
          <wp:inline distT="0" distB="0" distL="0" distR="0" wp14:anchorId="03A9DE2D" wp14:editId="26BD0D30">
            <wp:extent cx="6120130" cy="4167505"/>
            <wp:effectExtent l="0" t="0" r="0" b="4445"/>
            <wp:docPr id="60" name="Immagine 60"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magine 60" descr="Immagine che contiene mappa&#10;&#10;Descrizione generata automaticamente"/>
                    <pic:cNvPicPr/>
                  </pic:nvPicPr>
                  <pic:blipFill>
                    <a:blip r:embed="rId10"/>
                    <a:stretch>
                      <a:fillRect/>
                    </a:stretch>
                  </pic:blipFill>
                  <pic:spPr>
                    <a:xfrm>
                      <a:off x="0" y="0"/>
                      <a:ext cx="6120130" cy="4167505"/>
                    </a:xfrm>
                    <a:prstGeom prst="rect">
                      <a:avLst/>
                    </a:prstGeom>
                  </pic:spPr>
                </pic:pic>
              </a:graphicData>
            </a:graphic>
          </wp:inline>
        </w:drawing>
      </w:r>
    </w:p>
    <w:p w14:paraId="45AD3514" w14:textId="5636D141" w:rsidR="0019162B" w:rsidRPr="005D0E5F" w:rsidRDefault="0019162B" w:rsidP="0019162B">
      <w:pPr>
        <w:pStyle w:val="Caption"/>
        <w:jc w:val="center"/>
      </w:pPr>
      <w:r>
        <w:t xml:space="preserve">Figura </w:t>
      </w:r>
      <w:fldSimple w:instr=" SEQ Figura \* ARABIC ">
        <w:r w:rsidR="0095620C">
          <w:rPr>
            <w:noProof/>
          </w:rPr>
          <w:t>3</w:t>
        </w:r>
      </w:fldSimple>
      <w:r>
        <w:t xml:space="preserve"> – Stralcio delle mappe del SIT del Consorzio di Bonifica delle Marche</w:t>
      </w:r>
    </w:p>
    <w:p w14:paraId="20DA1D1B" w14:textId="77777777" w:rsidR="0019162B" w:rsidRPr="0019162B" w:rsidRDefault="0019162B" w:rsidP="0019162B">
      <w:pPr>
        <w:spacing w:after="0"/>
        <w:rPr>
          <w:rStyle w:val="CaptionChar"/>
          <w:rFonts w:eastAsiaTheme="minorHAnsi"/>
        </w:rPr>
      </w:pPr>
      <w:r w:rsidRPr="0019162B">
        <w:rPr>
          <w:rStyle w:val="CaptionChar"/>
          <w:rFonts w:eastAsiaTheme="minorHAnsi"/>
        </w:rPr>
        <w:t>Come si può osservare dalle figure precedenti, la principale interferenza idraulica con i corsi d’acqua codificati è una: il Fiume Tenna.</w:t>
      </w:r>
    </w:p>
    <w:p w14:paraId="627E86B3" w14:textId="429E116A" w:rsidR="0019162B" w:rsidRPr="0095620C" w:rsidRDefault="0019162B" w:rsidP="0095620C">
      <w:pPr>
        <w:spacing w:after="0"/>
        <w:rPr>
          <w:rFonts w:ascii="Arial" w:hAnsi="Arial" w:cs="Times New Roman"/>
          <w:szCs w:val="20"/>
          <w:lang w:eastAsia="it-IT"/>
        </w:rPr>
      </w:pPr>
      <w:r w:rsidRPr="0019162B">
        <w:rPr>
          <w:rStyle w:val="CaptionChar"/>
          <w:rFonts w:eastAsiaTheme="minorHAnsi"/>
        </w:rPr>
        <w:t xml:space="preserve">A questa interferenza si aggiungono alcune interferenze con altre linee d’acqua minori, come fossi e scoline non censite ma presenti e interferenti con l’asse stradale e di cui occorre assicurare continuità idraulica anche in condizioni post </w:t>
      </w:r>
      <w:proofErr w:type="spellStart"/>
      <w:r w:rsidRPr="0019162B">
        <w:rPr>
          <w:rStyle w:val="CaptionChar"/>
          <w:rFonts w:eastAsiaTheme="minorHAnsi"/>
        </w:rPr>
        <w:t>operam</w:t>
      </w:r>
      <w:proofErr w:type="spellEnd"/>
      <w:r w:rsidRPr="0019162B">
        <w:rPr>
          <w:rStyle w:val="CaptionChar"/>
          <w:rFonts w:eastAsiaTheme="minorHAnsi"/>
        </w:rPr>
        <w:t xml:space="preserve"> e che andranno meglio indagate con rilievi topografici di dettaglio.</w:t>
      </w:r>
      <w:r w:rsidRPr="00F9391B">
        <w:rPr>
          <w:iCs/>
        </w:rPr>
        <w:br w:type="page"/>
      </w:r>
    </w:p>
    <w:p w14:paraId="2B025E3D" w14:textId="6474F1F1" w:rsidR="0019162B" w:rsidRPr="000F36C2" w:rsidRDefault="0019162B" w:rsidP="0019162B">
      <w:pPr>
        <w:pStyle w:val="3TI-JLTTitolo1"/>
        <w:numPr>
          <w:ilvl w:val="0"/>
          <w:numId w:val="1"/>
        </w:numPr>
        <w:ind w:left="1134" w:hanging="1134"/>
        <w:rPr>
          <w:rFonts w:cs="Arial"/>
          <w:caps w:val="0"/>
          <w:sz w:val="22"/>
          <w:szCs w:val="22"/>
        </w:rPr>
      </w:pPr>
      <w:bookmarkStart w:id="3" w:name="_Toc57369655"/>
      <w:bookmarkStart w:id="4" w:name="_Toc84013134"/>
      <w:bookmarkStart w:id="5" w:name="_Toc141085129"/>
      <w:r w:rsidRPr="000F36C2">
        <w:rPr>
          <w:rFonts w:cs="Arial"/>
          <w:caps w:val="0"/>
          <w:sz w:val="22"/>
          <w:szCs w:val="22"/>
        </w:rPr>
        <w:lastRenderedPageBreak/>
        <w:t>LA PIANIFICAZIONE SOVRAORDINATA</w:t>
      </w:r>
      <w:bookmarkEnd w:id="3"/>
      <w:bookmarkEnd w:id="4"/>
      <w:bookmarkEnd w:id="5"/>
    </w:p>
    <w:p w14:paraId="14E62281" w14:textId="77777777" w:rsidR="0019162B" w:rsidRPr="000F36C2" w:rsidRDefault="0019162B" w:rsidP="0019162B">
      <w:pPr>
        <w:spacing w:after="0"/>
        <w:rPr>
          <w:rStyle w:val="CaptionChar"/>
          <w:rFonts w:eastAsiaTheme="minorHAnsi" w:cs="Arial"/>
          <w:szCs w:val="22"/>
        </w:rPr>
      </w:pPr>
      <w:proofErr w:type="spellStart"/>
      <w:r w:rsidRPr="000F36C2">
        <w:rPr>
          <w:rStyle w:val="CaptionChar"/>
          <w:rFonts w:eastAsiaTheme="minorHAnsi" w:cs="Arial"/>
          <w:szCs w:val="22"/>
        </w:rPr>
        <w:t>ll</w:t>
      </w:r>
      <w:proofErr w:type="spellEnd"/>
      <w:r w:rsidRPr="000F36C2">
        <w:rPr>
          <w:rStyle w:val="CaptionChar"/>
          <w:rFonts w:eastAsiaTheme="minorHAnsi" w:cs="Arial"/>
          <w:szCs w:val="22"/>
        </w:rPr>
        <w:t xml:space="preserve"> Piano di gestione del Rischio Alluvioni, redatto in forza della direttiva 2007/</w:t>
      </w:r>
      <w:proofErr w:type="gramStart"/>
      <w:r w:rsidRPr="000F36C2">
        <w:rPr>
          <w:rStyle w:val="CaptionChar"/>
          <w:rFonts w:eastAsiaTheme="minorHAnsi" w:cs="Arial"/>
          <w:szCs w:val="22"/>
        </w:rPr>
        <w:t>60  recepita</w:t>
      </w:r>
      <w:proofErr w:type="gramEnd"/>
      <w:r w:rsidRPr="000F36C2">
        <w:rPr>
          <w:rStyle w:val="CaptionChar"/>
          <w:rFonts w:eastAsiaTheme="minorHAnsi" w:cs="Arial"/>
          <w:szCs w:val="22"/>
        </w:rPr>
        <w:t xml:space="preserve">  nell’ordinamento italiano dal  D. lgs. n. 49/</w:t>
      </w:r>
      <w:proofErr w:type="gramStart"/>
      <w:r w:rsidRPr="000F36C2">
        <w:rPr>
          <w:rStyle w:val="CaptionChar"/>
          <w:rFonts w:eastAsiaTheme="minorHAnsi" w:cs="Arial"/>
          <w:szCs w:val="22"/>
        </w:rPr>
        <w:t>2010,  è</w:t>
      </w:r>
      <w:proofErr w:type="gramEnd"/>
      <w:r w:rsidRPr="000F36C2">
        <w:rPr>
          <w:rStyle w:val="CaptionChar"/>
          <w:rFonts w:eastAsiaTheme="minorHAnsi" w:cs="Arial"/>
          <w:szCs w:val="22"/>
        </w:rPr>
        <w:t xml:space="preserve"> stato approvato dal Presidente del Consiglio dei Ministri con DPCM  Pubblicato sulla Gazzetta Ufficiale n. 28 del 3 febbraio 2017.</w:t>
      </w:r>
    </w:p>
    <w:p w14:paraId="5BC66842"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Il Piano è stato </w:t>
      </w:r>
      <w:bookmarkStart w:id="6" w:name="_GoBack"/>
      <w:bookmarkEnd w:id="6"/>
      <w:r w:rsidRPr="000F36C2">
        <w:rPr>
          <w:rStyle w:val="CaptionChar"/>
          <w:rFonts w:eastAsiaTheme="minorHAnsi" w:cs="Arial"/>
          <w:szCs w:val="22"/>
        </w:rPr>
        <w:t xml:space="preserve">preceduto, come previsto </w:t>
      </w:r>
      <w:proofErr w:type="gramStart"/>
      <w:r w:rsidRPr="000F36C2">
        <w:rPr>
          <w:rStyle w:val="CaptionChar"/>
          <w:rFonts w:eastAsiaTheme="minorHAnsi" w:cs="Arial"/>
          <w:szCs w:val="22"/>
        </w:rPr>
        <w:t>dalle normativa</w:t>
      </w:r>
      <w:proofErr w:type="gramEnd"/>
      <w:r w:rsidRPr="000F36C2">
        <w:rPr>
          <w:rStyle w:val="CaptionChar"/>
          <w:rFonts w:eastAsiaTheme="minorHAnsi" w:cs="Arial"/>
          <w:szCs w:val="22"/>
        </w:rPr>
        <w:t xml:space="preserve"> sopra ricordate, da una lunga fase di attività preparatorie tra le quali – la più importante – la fase di mappatura della pericolosità e del rischio del Distretto idrografico dell’Appennino centrale.</w:t>
      </w:r>
    </w:p>
    <w:p w14:paraId="659A8B0F"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L’articolazione territoriale del Distretto è stata definita con il D. Lgs 152/2006 e comprendeva allora:</w:t>
      </w:r>
    </w:p>
    <w:p w14:paraId="712FF30E" w14:textId="77777777" w:rsidR="009A1B53" w:rsidRPr="009A1B53" w:rsidRDefault="009A1B53" w:rsidP="009A1B53">
      <w:pPr>
        <w:pStyle w:val="ListParagraph"/>
        <w:numPr>
          <w:ilvl w:val="0"/>
          <w:numId w:val="25"/>
        </w:numPr>
        <w:rPr>
          <w:rFonts w:ascii="Arial" w:hAnsi="Arial" w:cs="Arial"/>
          <w:iCs/>
        </w:rPr>
      </w:pPr>
      <w:r w:rsidRPr="009A1B53">
        <w:rPr>
          <w:rFonts w:ascii="Arial" w:hAnsi="Arial" w:cs="Arial"/>
          <w:iCs/>
        </w:rPr>
        <w:t>Tevere, già bacino nazionale ai sensi della legge n. 183 del 1989;</w:t>
      </w:r>
    </w:p>
    <w:p w14:paraId="578C5007" w14:textId="77777777" w:rsidR="009A1B53" w:rsidRPr="009A1B53" w:rsidRDefault="009A1B53" w:rsidP="009A1B53">
      <w:pPr>
        <w:pStyle w:val="ListParagraph"/>
        <w:numPr>
          <w:ilvl w:val="0"/>
          <w:numId w:val="25"/>
        </w:numPr>
        <w:rPr>
          <w:rFonts w:ascii="Arial" w:hAnsi="Arial" w:cs="Arial"/>
          <w:iCs/>
        </w:rPr>
      </w:pPr>
      <w:r w:rsidRPr="009A1B53">
        <w:rPr>
          <w:rFonts w:ascii="Arial" w:hAnsi="Arial" w:cs="Arial"/>
          <w:iCs/>
        </w:rPr>
        <w:t>Tronto, già bacino interregionale ai sensi della legge n. 183 del 1989;</w:t>
      </w:r>
    </w:p>
    <w:p w14:paraId="3CE704C5" w14:textId="77777777" w:rsidR="009A1B53" w:rsidRPr="009A1B53" w:rsidRDefault="009A1B53" w:rsidP="009A1B53">
      <w:pPr>
        <w:pStyle w:val="ListParagraph"/>
        <w:numPr>
          <w:ilvl w:val="0"/>
          <w:numId w:val="25"/>
        </w:numPr>
        <w:rPr>
          <w:rFonts w:ascii="Arial" w:hAnsi="Arial" w:cs="Arial"/>
          <w:iCs/>
        </w:rPr>
      </w:pPr>
      <w:r w:rsidRPr="009A1B53">
        <w:rPr>
          <w:rFonts w:ascii="Arial" w:hAnsi="Arial" w:cs="Arial"/>
          <w:iCs/>
        </w:rPr>
        <w:t>Sangro, già bacino interregionale ai sensi della legge n. 183 del 1989;</w:t>
      </w:r>
    </w:p>
    <w:p w14:paraId="05AEC672" w14:textId="77777777" w:rsidR="009A1B53" w:rsidRPr="009A1B53" w:rsidRDefault="009A1B53" w:rsidP="009A1B53">
      <w:pPr>
        <w:pStyle w:val="ListParagraph"/>
        <w:numPr>
          <w:ilvl w:val="0"/>
          <w:numId w:val="25"/>
        </w:numPr>
        <w:rPr>
          <w:rFonts w:ascii="Arial" w:hAnsi="Arial" w:cs="Arial"/>
          <w:iCs/>
        </w:rPr>
      </w:pPr>
      <w:r w:rsidRPr="009A1B53">
        <w:rPr>
          <w:rFonts w:ascii="Arial" w:hAnsi="Arial" w:cs="Arial"/>
          <w:iCs/>
        </w:rPr>
        <w:t>Bacini del Lazio, già bacini regionali ai sensi della legge n. 183 del1989;</w:t>
      </w:r>
    </w:p>
    <w:p w14:paraId="1CFFC4D4" w14:textId="77777777" w:rsidR="009A1B53" w:rsidRPr="009A1B53" w:rsidRDefault="009A1B53" w:rsidP="009A1B53">
      <w:pPr>
        <w:pStyle w:val="ListParagraph"/>
        <w:numPr>
          <w:ilvl w:val="0"/>
          <w:numId w:val="25"/>
        </w:numPr>
        <w:rPr>
          <w:rFonts w:ascii="Arial" w:hAnsi="Arial" w:cs="Arial"/>
          <w:iCs/>
        </w:rPr>
      </w:pPr>
      <w:r w:rsidRPr="009A1B53">
        <w:rPr>
          <w:rFonts w:ascii="Arial" w:hAnsi="Arial" w:cs="Arial"/>
          <w:iCs/>
        </w:rPr>
        <w:t>Bacini dell'Abruzzo, già bacini regionali ai sensi della legge n. 183 del 1989;</w:t>
      </w:r>
    </w:p>
    <w:p w14:paraId="1B2EC273" w14:textId="77777777" w:rsidR="009A1B53" w:rsidRPr="009A1B53" w:rsidRDefault="009A1B53" w:rsidP="009A1B53">
      <w:pPr>
        <w:pStyle w:val="ListParagraph"/>
        <w:numPr>
          <w:ilvl w:val="0"/>
          <w:numId w:val="25"/>
        </w:numPr>
        <w:rPr>
          <w:rFonts w:ascii="Arial" w:hAnsi="Arial" w:cs="Arial"/>
          <w:iCs/>
        </w:rPr>
      </w:pPr>
      <w:r w:rsidRPr="009A1B53">
        <w:rPr>
          <w:rFonts w:ascii="Arial" w:hAnsi="Arial" w:cs="Arial"/>
          <w:iCs/>
        </w:rPr>
        <w:t>Potenza, Chienti, Tenna, Ete, Aso, Menocchia, Tesino e bacini minori delle Marche, già bacini regionali ai sensi della legge n. 183 del1989.</w:t>
      </w:r>
    </w:p>
    <w:p w14:paraId="4D52C689"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Il Piano è stato quindi elaborato per questo territorio con le relative mappe di pericolosità e di rischio. </w:t>
      </w:r>
    </w:p>
    <w:p w14:paraId="7B975D9E"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Successivamente la L.221/2015 ha modificato l’articolazione dei distretti idrografici precedentemente definiti con il </w:t>
      </w:r>
      <w:proofErr w:type="gramStart"/>
      <w:r w:rsidRPr="000F36C2">
        <w:rPr>
          <w:rStyle w:val="CaptionChar"/>
          <w:rFonts w:eastAsiaTheme="minorHAnsi" w:cs="Arial"/>
          <w:szCs w:val="22"/>
        </w:rPr>
        <w:t>D.Lgs</w:t>
      </w:r>
      <w:proofErr w:type="gramEnd"/>
      <w:r w:rsidRPr="000F36C2">
        <w:rPr>
          <w:rStyle w:val="CaptionChar"/>
          <w:rFonts w:eastAsiaTheme="minorHAnsi" w:cs="Arial"/>
          <w:szCs w:val="22"/>
        </w:rPr>
        <w:t>.152/2006  assegnando al Distretto dell’Appennino i bacini dei seguenti fiumi che appartenevano fino ad allora al Distretto dell’Appennino settentrionale:</w:t>
      </w:r>
    </w:p>
    <w:p w14:paraId="78EF6D28" w14:textId="77777777" w:rsidR="0019162B" w:rsidRPr="009A1B53" w:rsidRDefault="0019162B" w:rsidP="009A1B53">
      <w:pPr>
        <w:pStyle w:val="ListParagraph"/>
        <w:numPr>
          <w:ilvl w:val="0"/>
          <w:numId w:val="25"/>
        </w:numPr>
        <w:rPr>
          <w:rFonts w:ascii="Arial" w:hAnsi="Arial" w:cs="Arial"/>
          <w:iCs/>
        </w:rPr>
      </w:pPr>
      <w:r w:rsidRPr="009A1B53">
        <w:rPr>
          <w:rFonts w:ascii="Arial" w:hAnsi="Arial" w:cs="Arial"/>
          <w:iCs/>
        </w:rPr>
        <w:t xml:space="preserve">Fiora, </w:t>
      </w:r>
      <w:proofErr w:type="spellStart"/>
      <w:r w:rsidRPr="009A1B53">
        <w:rPr>
          <w:rFonts w:ascii="Arial" w:hAnsi="Arial" w:cs="Arial"/>
          <w:iCs/>
        </w:rPr>
        <w:t>gia'</w:t>
      </w:r>
      <w:proofErr w:type="spellEnd"/>
      <w:r w:rsidRPr="009A1B53">
        <w:rPr>
          <w:rFonts w:ascii="Arial" w:hAnsi="Arial" w:cs="Arial"/>
          <w:iCs/>
        </w:rPr>
        <w:t xml:space="preserve"> bacino interregionale ai sensi della legge 18 maggio 1989, n. 183;</w:t>
      </w:r>
    </w:p>
    <w:p w14:paraId="143B93FD" w14:textId="77777777" w:rsidR="0019162B" w:rsidRPr="009A1B53" w:rsidRDefault="0019162B" w:rsidP="009A1B53">
      <w:pPr>
        <w:pStyle w:val="ListParagraph"/>
        <w:numPr>
          <w:ilvl w:val="0"/>
          <w:numId w:val="25"/>
        </w:numPr>
        <w:rPr>
          <w:rFonts w:ascii="Arial" w:hAnsi="Arial" w:cs="Arial"/>
          <w:iCs/>
        </w:rPr>
      </w:pPr>
      <w:r w:rsidRPr="009A1B53">
        <w:rPr>
          <w:rFonts w:ascii="Arial" w:hAnsi="Arial" w:cs="Arial"/>
          <w:iCs/>
        </w:rPr>
        <w:t xml:space="preserve">Foglia, Arzilla, Metauro, Cesano, Misa, </w:t>
      </w:r>
      <w:proofErr w:type="gramStart"/>
      <w:r w:rsidRPr="009A1B53">
        <w:rPr>
          <w:rFonts w:ascii="Arial" w:hAnsi="Arial" w:cs="Arial"/>
          <w:iCs/>
        </w:rPr>
        <w:t>Esino,  Musone</w:t>
      </w:r>
      <w:proofErr w:type="gramEnd"/>
      <w:r w:rsidRPr="009A1B53">
        <w:rPr>
          <w:rFonts w:ascii="Arial" w:hAnsi="Arial" w:cs="Arial"/>
          <w:iCs/>
        </w:rPr>
        <w:t xml:space="preserve">  e  altri bacini minori, </w:t>
      </w:r>
      <w:proofErr w:type="spellStart"/>
      <w:r w:rsidRPr="009A1B53">
        <w:rPr>
          <w:rFonts w:ascii="Arial" w:hAnsi="Arial" w:cs="Arial"/>
          <w:iCs/>
        </w:rPr>
        <w:t>gia'</w:t>
      </w:r>
      <w:proofErr w:type="spellEnd"/>
      <w:r w:rsidRPr="009A1B53">
        <w:rPr>
          <w:rFonts w:ascii="Arial" w:hAnsi="Arial" w:cs="Arial"/>
          <w:iCs/>
        </w:rPr>
        <w:t xml:space="preserve"> bacini regionali ai sensi della legge  18  maggio 1989, n. 183.</w:t>
      </w:r>
    </w:p>
    <w:p w14:paraId="4CA91F82"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Il nuovo assetto amministrativo consente, ai sensi dell’art. 4 comma 2 del DM 294/2016, di avere all’interno di ciascun Distretto un’unica Autorità competente ai sensi dell’art. 3.2(a) della direttiva 2007/60/CE e dell’art. 3.1 del decreto legislativo 23 febbraio 2010, n.49. </w:t>
      </w:r>
    </w:p>
    <w:p w14:paraId="0F2AACD3"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L’art. 4 al comma 2 del DM 294/2016 ha stabilito che l’Autorità di bacino distrettuale sia “Autorità Competente” (CA) ai sensi dell’art. 3 della Direttiva Quadro Acque (Dir. 2000/60/CE) e dell’art. 3 della FD. Inoltre, la stessa L. 221/2015 all’art. 51 comma 4 fissa la data di entrata in vigore del DM come limite temporale per la soppressione delle Autorità di bacino nazionali, interregionali e regionali di cui alla legge 183/1989. Pertanto dal 17 febbraio 2017 le uniche autorità di bacino vigenti sono </w:t>
      </w:r>
      <w:r w:rsidRPr="000F36C2">
        <w:rPr>
          <w:rStyle w:val="CaptionChar"/>
          <w:rFonts w:eastAsiaTheme="minorHAnsi" w:cs="Arial"/>
          <w:szCs w:val="22"/>
        </w:rPr>
        <w:lastRenderedPageBreak/>
        <w:t>quelle Distrettuali, aventi la natura giuridica di enti pubblici non economici, le quali svolgono il ruolo di “</w:t>
      </w:r>
      <w:proofErr w:type="spellStart"/>
      <w:r w:rsidRPr="000F36C2">
        <w:rPr>
          <w:rStyle w:val="CaptionChar"/>
          <w:rFonts w:eastAsiaTheme="minorHAnsi" w:cs="Arial"/>
          <w:szCs w:val="22"/>
        </w:rPr>
        <w:t>primeCompetentAuthority</w:t>
      </w:r>
      <w:proofErr w:type="spellEnd"/>
      <w:r w:rsidRPr="000F36C2">
        <w:rPr>
          <w:rStyle w:val="CaptionChar"/>
          <w:rFonts w:eastAsiaTheme="minorHAnsi" w:cs="Arial"/>
          <w:szCs w:val="22"/>
        </w:rPr>
        <w:t>” ai fini degli adempimenti delle Direttive Acque e Alluvioni. A queste 7 CA si affiancano ulteriori autorità competenti con ruoli e funzioni diverse (“</w:t>
      </w:r>
      <w:proofErr w:type="spellStart"/>
      <w:r w:rsidRPr="000F36C2">
        <w:rPr>
          <w:rStyle w:val="CaptionChar"/>
          <w:rFonts w:eastAsiaTheme="minorHAnsi" w:cs="Arial"/>
          <w:szCs w:val="22"/>
        </w:rPr>
        <w:t>otherCompetentAuthority</w:t>
      </w:r>
      <w:proofErr w:type="spellEnd"/>
      <w:r w:rsidRPr="000F36C2">
        <w:rPr>
          <w:rStyle w:val="CaptionChar"/>
          <w:rFonts w:eastAsiaTheme="minorHAnsi" w:cs="Arial"/>
          <w:szCs w:val="22"/>
        </w:rPr>
        <w:t xml:space="preserve">”): le Regioni e Province Autonome (n. 21 CA), il MATTM, l’ISPRA e il DPC per un totale di 31 CA. </w:t>
      </w:r>
    </w:p>
    <w:p w14:paraId="7334D206"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Lo strato informativo “Limiti Amministrativi delle Autorità di Bacino Distrettuali”, così come il </w:t>
      </w:r>
      <w:proofErr w:type="spellStart"/>
      <w:r w:rsidRPr="000F36C2">
        <w:rPr>
          <w:rStyle w:val="CaptionChar"/>
          <w:rFonts w:eastAsiaTheme="minorHAnsi" w:cs="Arial"/>
          <w:szCs w:val="22"/>
        </w:rPr>
        <w:t>layer</w:t>
      </w:r>
      <w:proofErr w:type="spellEnd"/>
      <w:r w:rsidRPr="000F36C2">
        <w:rPr>
          <w:rStyle w:val="CaptionChar"/>
          <w:rFonts w:eastAsiaTheme="minorHAnsi" w:cs="Arial"/>
          <w:szCs w:val="22"/>
        </w:rPr>
        <w:t xml:space="preserve"> delle Unit of Management, sono stati pubblicati sul </w:t>
      </w:r>
      <w:proofErr w:type="spellStart"/>
      <w:r w:rsidRPr="000F36C2">
        <w:rPr>
          <w:rStyle w:val="CaptionChar"/>
          <w:rFonts w:eastAsiaTheme="minorHAnsi" w:cs="Arial"/>
          <w:szCs w:val="22"/>
        </w:rPr>
        <w:t>Geoportale</w:t>
      </w:r>
      <w:proofErr w:type="spellEnd"/>
      <w:r w:rsidRPr="000F36C2">
        <w:rPr>
          <w:rStyle w:val="CaptionChar"/>
          <w:rFonts w:eastAsiaTheme="minorHAnsi" w:cs="Arial"/>
          <w:szCs w:val="22"/>
        </w:rPr>
        <w:t xml:space="preserve"> Nazionale e sono scaricabili attraverso specifici servizi di rete. </w:t>
      </w:r>
    </w:p>
    <w:p w14:paraId="4C6A12EF"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A seguito delle modifiche sopra riportate il Distretto dell’Appennino centrale ha attualmente un’estensione di 42.506 km2. Entro i suoi confini sono compresi i territori appartenenti alle seguenti Regioni:</w:t>
      </w:r>
    </w:p>
    <w:p w14:paraId="1C654440"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noProof/>
          <w:szCs w:val="22"/>
        </w:rPr>
        <w:drawing>
          <wp:inline distT="0" distB="0" distL="0" distR="0" wp14:anchorId="3DAFAC10" wp14:editId="1768A942">
            <wp:extent cx="6120130" cy="821690"/>
            <wp:effectExtent l="0" t="0" r="0" b="0"/>
            <wp:docPr id="256" name="Immagine 256"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magine 256" descr="Immagine che contiene tavolo&#10;&#10;Descrizione generata automaticamente"/>
                    <pic:cNvPicPr/>
                  </pic:nvPicPr>
                  <pic:blipFill>
                    <a:blip r:embed="rId11"/>
                    <a:stretch>
                      <a:fillRect/>
                    </a:stretch>
                  </pic:blipFill>
                  <pic:spPr>
                    <a:xfrm>
                      <a:off x="0" y="0"/>
                      <a:ext cx="6120130" cy="821690"/>
                    </a:xfrm>
                    <a:prstGeom prst="rect">
                      <a:avLst/>
                    </a:prstGeom>
                  </pic:spPr>
                </pic:pic>
              </a:graphicData>
            </a:graphic>
          </wp:inline>
        </w:drawing>
      </w:r>
    </w:p>
    <w:p w14:paraId="73F81487"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Il Distretto è suddiviso nei seguenti bacini che costituiscono </w:t>
      </w:r>
      <w:proofErr w:type="spellStart"/>
      <w:r w:rsidRPr="000F36C2">
        <w:rPr>
          <w:rStyle w:val="CaptionChar"/>
          <w:rFonts w:eastAsiaTheme="minorHAnsi" w:cs="Arial"/>
          <w:szCs w:val="22"/>
        </w:rPr>
        <w:t>UoM</w:t>
      </w:r>
      <w:proofErr w:type="spellEnd"/>
      <w:r w:rsidRPr="000F36C2">
        <w:rPr>
          <w:rStyle w:val="CaptionChar"/>
          <w:rFonts w:eastAsiaTheme="minorHAnsi" w:cs="Arial"/>
          <w:szCs w:val="22"/>
        </w:rPr>
        <w:t xml:space="preserve"> ai fini degli adempimenti della FD:</w:t>
      </w:r>
    </w:p>
    <w:p w14:paraId="0F38719D"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noProof/>
          <w:szCs w:val="22"/>
        </w:rPr>
        <w:drawing>
          <wp:inline distT="0" distB="0" distL="0" distR="0" wp14:anchorId="2532170E" wp14:editId="0DAB31E8">
            <wp:extent cx="6120130" cy="2839085"/>
            <wp:effectExtent l="0" t="0" r="0" b="0"/>
            <wp:docPr id="258" name="Immagine 258"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magine 258" descr="Immagine che contiene tavolo&#10;&#10;Descrizione generata automaticamente"/>
                    <pic:cNvPicPr/>
                  </pic:nvPicPr>
                  <pic:blipFill>
                    <a:blip r:embed="rId12"/>
                    <a:stretch>
                      <a:fillRect/>
                    </a:stretch>
                  </pic:blipFill>
                  <pic:spPr>
                    <a:xfrm>
                      <a:off x="0" y="0"/>
                      <a:ext cx="6120130" cy="2839085"/>
                    </a:xfrm>
                    <a:prstGeom prst="rect">
                      <a:avLst/>
                    </a:prstGeom>
                  </pic:spPr>
                </pic:pic>
              </a:graphicData>
            </a:graphic>
          </wp:inline>
        </w:drawing>
      </w:r>
    </w:p>
    <w:p w14:paraId="036B3D2D"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L’area oggetto di studio rientra all’interno della </w:t>
      </w:r>
      <w:proofErr w:type="spellStart"/>
      <w:r w:rsidRPr="000F36C2">
        <w:rPr>
          <w:rStyle w:val="CaptionChar"/>
          <w:rFonts w:eastAsiaTheme="minorHAnsi" w:cs="Arial"/>
          <w:szCs w:val="22"/>
        </w:rPr>
        <w:t>UoM</w:t>
      </w:r>
      <w:proofErr w:type="spellEnd"/>
      <w:r w:rsidRPr="000F36C2">
        <w:rPr>
          <w:rStyle w:val="CaptionChar"/>
          <w:rFonts w:eastAsiaTheme="minorHAnsi" w:cs="Arial"/>
          <w:szCs w:val="22"/>
        </w:rPr>
        <w:t xml:space="preserve"> ITR111 Regionale Marche.</w:t>
      </w:r>
    </w:p>
    <w:p w14:paraId="4416901C" w14:textId="23B6CC5C" w:rsidR="0019162B" w:rsidRPr="000F36C2" w:rsidRDefault="0019162B" w:rsidP="0019162B">
      <w:pPr>
        <w:pStyle w:val="Heading2"/>
        <w:rPr>
          <w:rFonts w:ascii="Arial" w:hAnsi="Arial" w:cs="Arial"/>
          <w:sz w:val="22"/>
          <w:szCs w:val="22"/>
        </w:rPr>
      </w:pPr>
      <w:bookmarkStart w:id="7" w:name="_Toc57369656"/>
      <w:bookmarkStart w:id="8" w:name="_Toc84013135"/>
      <w:bookmarkStart w:id="9" w:name="_Toc141085130"/>
      <w:r w:rsidRPr="000F36C2">
        <w:rPr>
          <w:rFonts w:ascii="Arial" w:eastAsia="Times New Roman" w:hAnsi="Arial" w:cs="Arial"/>
          <w:bCs w:val="0"/>
          <w:caps w:val="0"/>
          <w:noProof/>
          <w:sz w:val="22"/>
          <w:szCs w:val="22"/>
          <w:lang w:eastAsia="ar-SA"/>
        </w:rPr>
        <w:lastRenderedPageBreak/>
        <w:t>Il PGRA –</w:t>
      </w:r>
      <w:r w:rsidRPr="000F36C2">
        <w:rPr>
          <w:rFonts w:ascii="Arial" w:hAnsi="Arial" w:cs="Arial"/>
          <w:sz w:val="22"/>
          <w:szCs w:val="22"/>
        </w:rPr>
        <w:t xml:space="preserve"> </w:t>
      </w:r>
      <w:r w:rsidRPr="000F36C2">
        <w:rPr>
          <w:rFonts w:ascii="Arial" w:eastAsia="Times New Roman" w:hAnsi="Arial" w:cs="Arial"/>
          <w:bCs w:val="0"/>
          <w:caps w:val="0"/>
          <w:noProof/>
          <w:sz w:val="22"/>
          <w:szCs w:val="22"/>
          <w:lang w:eastAsia="ar-SA"/>
        </w:rPr>
        <w:t>PIANO DI GESTIONE RISCHIO ALLUVIONI</w:t>
      </w:r>
      <w:bookmarkEnd w:id="7"/>
      <w:bookmarkEnd w:id="8"/>
      <w:bookmarkEnd w:id="9"/>
    </w:p>
    <w:p w14:paraId="30A354D2"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Gli elaborati di aggiornamento del Piano di Gestione del Rischio di Alluvione sono stati esaminati e condivisi nella seduta della Conferenza Operativa del 15 dicembre 2021, che ha espresso al riguardo parere favorevole.</w:t>
      </w:r>
    </w:p>
    <w:p w14:paraId="04F9BD2E"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Con il parere n. 12 del 26 marzo 2021 la Commissione tecnica VIA VAS aveva escluso il Piano di Gestione del Rischio Alluvioni del Distretto dell’Appennino Centrale dall’assoggettabilità a VAS fornendo alcune osservazioni/prescrizioni recepite mediante la presente relazione integrativa nel Piano gestione Rischio Alluvioni in adozione.</w:t>
      </w:r>
    </w:p>
    <w:p w14:paraId="7BDB4CB9"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Infine, in data 20 dicembre 2021 con Delibera n.27/2021 la Conferenza Istituzionale Permanente ha adottato l’aggiornamento del PGRA ai sensi degli art.65 e 66 del </w:t>
      </w:r>
      <w:proofErr w:type="spellStart"/>
      <w:r w:rsidRPr="000F36C2">
        <w:rPr>
          <w:rStyle w:val="CaptionChar"/>
          <w:rFonts w:eastAsiaTheme="minorHAnsi" w:cs="Arial"/>
          <w:szCs w:val="22"/>
        </w:rPr>
        <w:t>D.Lgs</w:t>
      </w:r>
      <w:proofErr w:type="spellEnd"/>
      <w:r w:rsidRPr="000F36C2">
        <w:rPr>
          <w:rStyle w:val="CaptionChar"/>
          <w:rFonts w:eastAsiaTheme="minorHAnsi" w:cs="Arial"/>
          <w:szCs w:val="22"/>
        </w:rPr>
        <w:t xml:space="preserve"> 152/2006.</w:t>
      </w:r>
    </w:p>
    <w:p w14:paraId="271B4C32"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Tra gli elementi costitutivi dei PGRA, le mappe di pericolosità individuano le aree potenzialmente interessate da inondazioni in relazione a tre scenari:</w:t>
      </w:r>
    </w:p>
    <w:p w14:paraId="5D46DEB9"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1)</w:t>
      </w:r>
      <w:r w:rsidRPr="000F36C2">
        <w:rPr>
          <w:rStyle w:val="CaptionChar"/>
          <w:rFonts w:eastAsiaTheme="minorHAnsi" w:cs="Arial"/>
          <w:szCs w:val="22"/>
        </w:rPr>
        <w:tab/>
        <w:t>Scarsa probabilità di alluvioni o scenari di eventi estremi (P1, probabilità bassa);</w:t>
      </w:r>
    </w:p>
    <w:p w14:paraId="02DB40C5"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2)</w:t>
      </w:r>
      <w:r w:rsidRPr="000F36C2">
        <w:rPr>
          <w:rStyle w:val="CaptionChar"/>
          <w:rFonts w:eastAsiaTheme="minorHAnsi" w:cs="Arial"/>
          <w:szCs w:val="22"/>
        </w:rPr>
        <w:tab/>
        <w:t>Alluvioni poco frequenti: tempo di ritorno di riferimento fra 100 e 200 anni (P2, media probabilità);</w:t>
      </w:r>
    </w:p>
    <w:p w14:paraId="305065B6"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3)</w:t>
      </w:r>
      <w:r w:rsidRPr="000F36C2">
        <w:rPr>
          <w:rStyle w:val="CaptionChar"/>
          <w:rFonts w:eastAsiaTheme="minorHAnsi" w:cs="Arial"/>
          <w:szCs w:val="22"/>
        </w:rPr>
        <w:tab/>
        <w:t>Alluvioni frequenti: tempo di ritorno di riferimento fra 20 e 50 anni (P3, elevata probabilità).</w:t>
      </w:r>
    </w:p>
    <w:p w14:paraId="175ACE0A"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Alle mappe della pericolosità idraulica si aggiungono le mappe del rischio idraulico, che viene definito come funzione della pericolosità e del danno potenziale delle differenti zone a pericolosità.</w:t>
      </w:r>
    </w:p>
    <w:p w14:paraId="119F14BA"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Di seguito si riporta gli stralci delle mappe di pericolosità idraulica e rischio idraulico del PGRA.</w:t>
      </w:r>
    </w:p>
    <w:p w14:paraId="1EEAD4CD"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noProof/>
          <w:szCs w:val="22"/>
        </w:rPr>
        <w:lastRenderedPageBreak/>
        <w:drawing>
          <wp:anchor distT="0" distB="0" distL="114300" distR="114300" simplePos="0" relativeHeight="251659264" behindDoc="0" locked="0" layoutInCell="1" allowOverlap="1" wp14:anchorId="7BA63F22" wp14:editId="33D101D9">
            <wp:simplePos x="0" y="0"/>
            <wp:positionH relativeFrom="column">
              <wp:posOffset>3518947</wp:posOffset>
            </wp:positionH>
            <wp:positionV relativeFrom="paragraph">
              <wp:posOffset>2665095</wp:posOffset>
            </wp:positionV>
            <wp:extent cx="2536466" cy="692936"/>
            <wp:effectExtent l="0" t="0" r="0" b="0"/>
            <wp:wrapNone/>
            <wp:docPr id="261" name="Immagine 261" descr="Immagine che contiene testo, interni, screensho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magine 261" descr="Immagine che contiene testo, interni, screenshot&#10;&#10;Descrizione generata automaticament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36466" cy="692936"/>
                    </a:xfrm>
                    <a:prstGeom prst="rect">
                      <a:avLst/>
                    </a:prstGeom>
                  </pic:spPr>
                </pic:pic>
              </a:graphicData>
            </a:graphic>
          </wp:anchor>
        </w:drawing>
      </w:r>
      <w:r w:rsidRPr="000F36C2">
        <w:rPr>
          <w:rStyle w:val="CaptionChar"/>
          <w:rFonts w:eastAsiaTheme="minorHAnsi" w:cs="Arial"/>
          <w:noProof/>
          <w:szCs w:val="22"/>
        </w:rPr>
        <w:drawing>
          <wp:inline distT="0" distB="0" distL="0" distR="0" wp14:anchorId="7440BD77" wp14:editId="72B1840D">
            <wp:extent cx="6120130" cy="3408680"/>
            <wp:effectExtent l="0" t="0" r="0" b="1270"/>
            <wp:docPr id="298663673" name="Immagine 1" descr="Immagine che contiene testo, mappa, atla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63673" name="Immagine 1" descr="Immagine che contiene testo, mappa, atlante&#10;&#10;Descrizione generata automaticamente"/>
                    <pic:cNvPicPr/>
                  </pic:nvPicPr>
                  <pic:blipFill>
                    <a:blip r:embed="rId14"/>
                    <a:stretch>
                      <a:fillRect/>
                    </a:stretch>
                  </pic:blipFill>
                  <pic:spPr>
                    <a:xfrm>
                      <a:off x="0" y="0"/>
                      <a:ext cx="6120130" cy="3408680"/>
                    </a:xfrm>
                    <a:prstGeom prst="rect">
                      <a:avLst/>
                    </a:prstGeom>
                  </pic:spPr>
                </pic:pic>
              </a:graphicData>
            </a:graphic>
          </wp:inline>
        </w:drawing>
      </w:r>
    </w:p>
    <w:p w14:paraId="31F27CEA" w14:textId="45441F53"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 xml:space="preserve">Figura </w:t>
      </w:r>
      <w:r w:rsidRPr="000F36C2">
        <w:rPr>
          <w:rStyle w:val="CaptionChar"/>
          <w:rFonts w:eastAsiaTheme="minorHAnsi" w:cs="Arial"/>
          <w:szCs w:val="22"/>
        </w:rPr>
        <w:fldChar w:fldCharType="begin"/>
      </w:r>
      <w:r w:rsidRPr="000F36C2">
        <w:rPr>
          <w:rStyle w:val="CaptionChar"/>
          <w:rFonts w:eastAsiaTheme="minorHAnsi" w:cs="Arial"/>
          <w:szCs w:val="22"/>
        </w:rPr>
        <w:instrText xml:space="preserve"> SEQ Figura \* ARABIC </w:instrText>
      </w:r>
      <w:r w:rsidRPr="000F36C2">
        <w:rPr>
          <w:rStyle w:val="CaptionChar"/>
          <w:rFonts w:eastAsiaTheme="minorHAnsi" w:cs="Arial"/>
          <w:szCs w:val="22"/>
        </w:rPr>
        <w:fldChar w:fldCharType="separate"/>
      </w:r>
      <w:r w:rsidR="0095620C">
        <w:rPr>
          <w:rStyle w:val="CaptionChar"/>
          <w:rFonts w:eastAsiaTheme="minorHAnsi" w:cs="Arial"/>
          <w:noProof/>
          <w:szCs w:val="22"/>
        </w:rPr>
        <w:t>4</w:t>
      </w:r>
      <w:r w:rsidRPr="000F36C2">
        <w:rPr>
          <w:rStyle w:val="CaptionChar"/>
          <w:rFonts w:eastAsiaTheme="minorHAnsi" w:cs="Arial"/>
          <w:szCs w:val="22"/>
        </w:rPr>
        <w:fldChar w:fldCharType="end"/>
      </w:r>
      <w:r w:rsidRPr="000F36C2">
        <w:rPr>
          <w:rStyle w:val="CaptionChar"/>
          <w:rFonts w:eastAsiaTheme="minorHAnsi" w:cs="Arial"/>
          <w:szCs w:val="22"/>
        </w:rPr>
        <w:t xml:space="preserve"> – PGRA – Stralcio mappa della pericolosità idraulica</w:t>
      </w:r>
    </w:p>
    <w:p w14:paraId="3EAED894"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Come si evince dallo stralcio mostrato, l’asse di progetto non ricade in aree a pericolosità idraulica, fatta eccezione per il tratto in attraversamento del Fiume Tenna.</w:t>
      </w:r>
    </w:p>
    <w:p w14:paraId="54B768C0" w14:textId="77777777" w:rsidR="0019162B" w:rsidRPr="000F36C2" w:rsidRDefault="0019162B" w:rsidP="0019162B">
      <w:pPr>
        <w:keepNext/>
        <w:rPr>
          <w:rFonts w:ascii="Arial" w:hAnsi="Arial" w:cs="Arial"/>
        </w:rPr>
      </w:pPr>
      <w:r w:rsidRPr="000F36C2">
        <w:rPr>
          <w:rFonts w:ascii="Arial" w:hAnsi="Arial" w:cs="Arial"/>
          <w:noProof/>
        </w:rPr>
        <w:lastRenderedPageBreak/>
        <w:drawing>
          <wp:anchor distT="0" distB="0" distL="114300" distR="114300" simplePos="0" relativeHeight="251661312" behindDoc="0" locked="0" layoutInCell="1" allowOverlap="1" wp14:anchorId="1F23D073" wp14:editId="3C008AA5">
            <wp:simplePos x="0" y="0"/>
            <wp:positionH relativeFrom="column">
              <wp:posOffset>4058119</wp:posOffset>
            </wp:positionH>
            <wp:positionV relativeFrom="paragraph">
              <wp:posOffset>2505130</wp:posOffset>
            </wp:positionV>
            <wp:extent cx="2035175" cy="979805"/>
            <wp:effectExtent l="0" t="0" r="3175" b="0"/>
            <wp:wrapNone/>
            <wp:docPr id="7" name="Immagine 7"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7" descr="Immagine che contiene testo&#10;&#10;Descrizione generata automaticamente"/>
                    <pic:cNvPicPr/>
                  </pic:nvPicPr>
                  <pic:blipFill>
                    <a:blip r:embed="rId15">
                      <a:extLst>
                        <a:ext uri="{28A0092B-C50C-407E-A947-70E740481C1C}">
                          <a14:useLocalDpi xmlns:a14="http://schemas.microsoft.com/office/drawing/2010/main" val="0"/>
                        </a:ext>
                      </a:extLst>
                    </a:blip>
                    <a:stretch>
                      <a:fillRect/>
                    </a:stretch>
                  </pic:blipFill>
                  <pic:spPr>
                    <a:xfrm>
                      <a:off x="0" y="0"/>
                      <a:ext cx="2035175" cy="979805"/>
                    </a:xfrm>
                    <a:prstGeom prst="rect">
                      <a:avLst/>
                    </a:prstGeom>
                  </pic:spPr>
                </pic:pic>
              </a:graphicData>
            </a:graphic>
          </wp:anchor>
        </w:drawing>
      </w:r>
      <w:r w:rsidRPr="000F36C2">
        <w:rPr>
          <w:rFonts w:ascii="Arial" w:hAnsi="Arial" w:cs="Arial"/>
          <w:noProof/>
        </w:rPr>
        <mc:AlternateContent>
          <mc:Choice Requires="wps">
            <w:drawing>
              <wp:anchor distT="0" distB="0" distL="114300" distR="114300" simplePos="0" relativeHeight="251660288" behindDoc="0" locked="0" layoutInCell="1" allowOverlap="1" wp14:anchorId="7BD39EA0" wp14:editId="0079534B">
                <wp:simplePos x="0" y="0"/>
                <wp:positionH relativeFrom="column">
                  <wp:posOffset>2090696</wp:posOffset>
                </wp:positionH>
                <wp:positionV relativeFrom="paragraph">
                  <wp:posOffset>1225937</wp:posOffset>
                </wp:positionV>
                <wp:extent cx="695739" cy="2015462"/>
                <wp:effectExtent l="0" t="0" r="28575" b="23495"/>
                <wp:wrapNone/>
                <wp:docPr id="266" name="Figura a mano libera: forma 266"/>
                <wp:cNvGraphicFramePr/>
                <a:graphic xmlns:a="http://schemas.openxmlformats.org/drawingml/2006/main">
                  <a:graphicData uri="http://schemas.microsoft.com/office/word/2010/wordprocessingShape">
                    <wps:wsp>
                      <wps:cNvSpPr/>
                      <wps:spPr>
                        <a:xfrm>
                          <a:off x="0" y="0"/>
                          <a:ext cx="695739" cy="2015462"/>
                        </a:xfrm>
                        <a:custGeom>
                          <a:avLst/>
                          <a:gdLst>
                            <a:gd name="connsiteX0" fmla="*/ 0 w 807058"/>
                            <a:gd name="connsiteY0" fmla="*/ 2305878 h 2305878"/>
                            <a:gd name="connsiteX1" fmla="*/ 127221 w 807058"/>
                            <a:gd name="connsiteY1" fmla="*/ 2067339 h 2305878"/>
                            <a:gd name="connsiteX2" fmla="*/ 258418 w 807058"/>
                            <a:gd name="connsiteY2" fmla="*/ 1832775 h 2305878"/>
                            <a:gd name="connsiteX3" fmla="*/ 310101 w 807058"/>
                            <a:gd name="connsiteY3" fmla="*/ 1669773 h 2305878"/>
                            <a:gd name="connsiteX4" fmla="*/ 357809 w 807058"/>
                            <a:gd name="connsiteY4" fmla="*/ 1427259 h 2305878"/>
                            <a:gd name="connsiteX5" fmla="*/ 381663 w 807058"/>
                            <a:gd name="connsiteY5" fmla="*/ 1236427 h 2305878"/>
                            <a:gd name="connsiteX6" fmla="*/ 417444 w 807058"/>
                            <a:gd name="connsiteY6" fmla="*/ 985961 h 2305878"/>
                            <a:gd name="connsiteX7" fmla="*/ 485030 w 807058"/>
                            <a:gd name="connsiteY7" fmla="*/ 767300 h 2305878"/>
                            <a:gd name="connsiteX8" fmla="*/ 604299 w 807058"/>
                            <a:gd name="connsiteY8" fmla="*/ 477078 h 2305878"/>
                            <a:gd name="connsiteX9" fmla="*/ 807058 w 807058"/>
                            <a:gd name="connsiteY9" fmla="*/ 0 h 23058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807058" h="2305878">
                              <a:moveTo>
                                <a:pt x="0" y="2305878"/>
                              </a:moveTo>
                              <a:lnTo>
                                <a:pt x="127221" y="2067339"/>
                              </a:lnTo>
                              <a:lnTo>
                                <a:pt x="258418" y="1832775"/>
                              </a:lnTo>
                              <a:lnTo>
                                <a:pt x="310101" y="1669773"/>
                              </a:lnTo>
                              <a:lnTo>
                                <a:pt x="357809" y="1427259"/>
                              </a:lnTo>
                              <a:lnTo>
                                <a:pt x="381663" y="1236427"/>
                              </a:lnTo>
                              <a:lnTo>
                                <a:pt x="417444" y="985961"/>
                              </a:lnTo>
                              <a:lnTo>
                                <a:pt x="485030" y="767300"/>
                              </a:lnTo>
                              <a:lnTo>
                                <a:pt x="604299" y="477078"/>
                              </a:lnTo>
                              <a:lnTo>
                                <a:pt x="807058" y="0"/>
                              </a:lnTo>
                            </a:path>
                          </a:pathLst>
                        </a:custGeom>
                        <a:noFill/>
                        <a:ln>
                          <a:solidFill>
                            <a:srgbClr val="00206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3A5C3D" id="Figura a mano libera: forma 266" o:spid="_x0000_s1026" style="position:absolute;margin-left:164.6pt;margin-top:96.55pt;width:54.8pt;height:15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807058,23058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S9QoAQAAGwOAAAOAAAAZHJzL2Uyb0RvYy54bWysV01v4zYQvRfofyB0LNBYn5ZtxFkECVIU&#10;WOwGTYrdHmmJsgRIpErSsdNf30dSUtjs1kqK5qCQ5nvzyOFwOLz8cOpa8sSkagTfBtFFGBDGC1E2&#10;fL8Nfn+8+3kVEKUpL2krONsGz0wFH65+/OHy2G9YLGrRlkwSGOFqc+y3Qa11v1ksVFGzjqoL0TOO&#10;wUrIjmp05X5RSnqE9a5dxGG4XByFLHspCqYUfr11g8GVtV9VrNCfq0oxTdptgLlp+5X2uzPfxdUl&#10;3ewl7eumGKZB/8MsOtpwiE6mbqmm5CCbb0x1TSGFEpW+KES3EFXVFMyuAauJwlereahpz+xa4BzV&#10;T25S/5/Z4tPTvSRNuQ3i5TIgnHbYpLtmf5CUUNJRLkjb7JikG2I3gRgYnHbs1Qbch/5eDj2FpvHA&#10;qZKd+Y+1kZN19PPkaHbSpMCPy3WWJ+uAFBjCurN0GRujixd2cVD6FyasJfr0UWm3USVa1s3lMNVC&#10;cK4azb5ic6uuxd79tCAhOZJVmIfZatjf1+g/fHScAJivSE2G1r+QvkaeRBTncRzN6viUOFzmSbKe&#10;14k9nThbpdFqVsenRKskzvNsXifxdJII4Te/Hp8SLZfrPE/mdVJfJ8tX4Xp2PT4lSuHr7A1+y3yd&#10;FaaXzOr4lChOlpCaXw/OyRRqaZSnaTqr41PWq2y9jOZlcl9mlYXJfFj7lBzRFobzMkjQ02qWYRqv&#10;53fHp6R5Hr7l8OC0TzLubM46zae8WggyxX7MBbQe00Nx4kN+QItQcwWFNiv3Qplc5CcLZJ6xi2zg&#10;kg9YJrnMkHGmfXL0LjIOqk8e097blHH6fHLyLmUcKZ+cvouMc+KTs3eREfw+2d4f2MC3rRkh7ZPz&#10;dykjUH2yvQ7erIzw88lrX9kZGYJNosow9UVr6wsdENQXMiCoL3aGQzc91SZGxyY5boPheiI1LkB3&#10;/9hA7cQTexQWqF9uzxHhovQF03If664kO+nhqhlmPMLG/7017W4WCx9ujLNwd0E4uEv85+E2zzu4&#10;y9/n4TZdO7hLw2fhLutauMum59E2eVq0S4pn0S4HWrTLbWfR4z4iUsYs4tyMCDHbbouaaf9N2HiF&#10;DRd3TdvaEGlt5lGibUrzm4kAJfe7m1aSJ2pq1xB7Oir8A9ZLpW+pqh1OPSvTmeYMfVOqueLMtvRz&#10;y4z5lv/GKlR+yIuxjT1bc7NJkRYF4zpyQzUtmRPIQvwN5ieGXaU1aCxXWMBkezBg6vlvbbuAHvCG&#10;ymzJPpFd9p5k3AzGiTnyxLDKguuJ3DVcyO+trMWqBmWHH53kXGO8tBPlM+piKdyDQfXFXQM/f6RK&#10;31OJKhMFJF49+jM+VStwoHFwbSsgtZB/fe93g0fhjtGAHPHi2AbqzwOVLCDtrxwl/TpKU/NEsZ00&#10;y2N0pD+y80f4obsRCAzcRpidbRq8bsdmJUX3BY+ja6OKIcoLaOPW08hNrnOj0ccQKvuCXV/bNp4l&#10;CNeP/KEvjHHjVRNhj6cvVPbENLeBRh3/SYyvE7oZC3QT8xPWMLm4PmhRNaZ6t3Ho/Dp08KSxgTM8&#10;v8ybye9b1Msj8epvAAAA//8DAFBLAwQUAAYACAAAACEAa0o4LeEAAAALAQAADwAAAGRycy9kb3du&#10;cmV2LnhtbEyPy07DMBBF90j8gzVIbBB1HrS0IU6FiliBKlGo2Lr2NImIx1HstuHvO13BcnSP7pxb&#10;LkfXiSMOofWkIJ0kIJCMty3VCr4+X+/nIELUZHXnCRX8YoBldX1V6sL6E33gcRNrwSUUCq2gibEv&#10;pAymQafDxPdInO394HTkc6ilHfSJy10nsySZSadb4g+N7nHVoPnZHJyCYTtbeWne3x637vsOX9Zm&#10;3K+NUrc34/MTiIhj/IPhos/qULHTzh/IBtEpyLNFxigHizwFwcRDPucxOwXTNJmCrEr5f0N1BgAA&#10;//8DAFBLAQItABQABgAIAAAAIQC2gziS/gAAAOEBAAATAAAAAAAAAAAAAAAAAAAAAABbQ29udGVu&#10;dF9UeXBlc10ueG1sUEsBAi0AFAAGAAgAAAAhADj9If/WAAAAlAEAAAsAAAAAAAAAAAAAAAAALwEA&#10;AF9yZWxzLy5yZWxzUEsBAi0AFAAGAAgAAAAhAIX1L1CgBAAAbA4AAA4AAAAAAAAAAAAAAAAALgIA&#10;AGRycy9lMm9Eb2MueG1sUEsBAi0AFAAGAAgAAAAhAGtKOC3hAAAACwEAAA8AAAAAAAAAAAAAAAAA&#10;+gYAAGRycy9kb3ducmV2LnhtbFBLBQYAAAAABAAEAPMAAAAICAAAAAA=&#10;" path="m,2305878l127221,2067339,258418,1832775r51683,-163002l357809,1427259r23854,-190832l417444,985961,485030,767300,604299,477078,807058,e" filled="f" strokecolor="#002060" strokeweight="2pt">
                <v:stroke dashstyle="3 1"/>
                <v:path arrowok="t" o:connecttype="custom" o:connectlocs="0,2015462;109673,1806966;222774,1601944;267328,1459472;308456,1247502;329020,1080704;359865,861783;418129,670662;520947,416992;695739,0" o:connectangles="0,0,0,0,0,0,0,0,0,0"/>
              </v:shape>
            </w:pict>
          </mc:Fallback>
        </mc:AlternateContent>
      </w:r>
      <w:r w:rsidRPr="000F36C2">
        <w:rPr>
          <w:rFonts w:ascii="Arial" w:hAnsi="Arial" w:cs="Arial"/>
          <w:noProof/>
        </w:rPr>
        <w:drawing>
          <wp:inline distT="0" distB="0" distL="0" distR="0" wp14:anchorId="497D1EC4" wp14:editId="601219B9">
            <wp:extent cx="6120130" cy="3505835"/>
            <wp:effectExtent l="19050" t="19050" r="13970" b="18415"/>
            <wp:docPr id="262" name="Immagine 262"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magine 262" descr="Immagine che contiene mappa&#10;&#10;Descrizione generata automaticamente"/>
                    <pic:cNvPicPr/>
                  </pic:nvPicPr>
                  <pic:blipFill>
                    <a:blip r:embed="rId16"/>
                    <a:stretch>
                      <a:fillRect/>
                    </a:stretch>
                  </pic:blipFill>
                  <pic:spPr>
                    <a:xfrm>
                      <a:off x="0" y="0"/>
                      <a:ext cx="6120130" cy="3505835"/>
                    </a:xfrm>
                    <a:prstGeom prst="rect">
                      <a:avLst/>
                    </a:prstGeom>
                    <a:ln w="3175">
                      <a:solidFill>
                        <a:schemeClr val="tx1"/>
                      </a:solidFill>
                    </a:ln>
                  </pic:spPr>
                </pic:pic>
              </a:graphicData>
            </a:graphic>
          </wp:inline>
        </w:drawing>
      </w:r>
    </w:p>
    <w:p w14:paraId="1B3A766D" w14:textId="7CBCDF8C" w:rsidR="0019162B" w:rsidRPr="000F36C2" w:rsidRDefault="0019162B" w:rsidP="0019162B">
      <w:pPr>
        <w:pStyle w:val="Caption"/>
        <w:jc w:val="center"/>
        <w:rPr>
          <w:rFonts w:cs="Arial"/>
          <w:szCs w:val="22"/>
        </w:rPr>
      </w:pPr>
      <w:r w:rsidRPr="000F36C2">
        <w:rPr>
          <w:rFonts w:cs="Arial"/>
          <w:szCs w:val="22"/>
        </w:rPr>
        <w:t xml:space="preserve">Figura </w:t>
      </w:r>
      <w:r w:rsidRPr="000F36C2">
        <w:rPr>
          <w:rFonts w:cs="Arial"/>
          <w:szCs w:val="22"/>
        </w:rPr>
        <w:fldChar w:fldCharType="begin"/>
      </w:r>
      <w:r w:rsidRPr="000F36C2">
        <w:rPr>
          <w:rFonts w:cs="Arial"/>
          <w:szCs w:val="22"/>
        </w:rPr>
        <w:instrText xml:space="preserve"> SEQ Figura \* ARABIC </w:instrText>
      </w:r>
      <w:r w:rsidRPr="000F36C2">
        <w:rPr>
          <w:rFonts w:cs="Arial"/>
          <w:szCs w:val="22"/>
        </w:rPr>
        <w:fldChar w:fldCharType="separate"/>
      </w:r>
      <w:r w:rsidR="0095620C">
        <w:rPr>
          <w:rFonts w:cs="Arial"/>
          <w:noProof/>
          <w:szCs w:val="22"/>
        </w:rPr>
        <w:t>5</w:t>
      </w:r>
      <w:r w:rsidRPr="000F36C2">
        <w:rPr>
          <w:rFonts w:cs="Arial"/>
          <w:noProof/>
          <w:szCs w:val="22"/>
        </w:rPr>
        <w:fldChar w:fldCharType="end"/>
      </w:r>
      <w:r w:rsidRPr="000F36C2">
        <w:rPr>
          <w:rFonts w:cs="Arial"/>
          <w:szCs w:val="22"/>
        </w:rPr>
        <w:t xml:space="preserve"> -PGRA – Stralcio mappa del rischio idraulico</w:t>
      </w:r>
    </w:p>
    <w:p w14:paraId="2CDE03EC" w14:textId="77777777" w:rsidR="0019162B" w:rsidRPr="000F36C2" w:rsidRDefault="0019162B" w:rsidP="0019162B">
      <w:pPr>
        <w:spacing w:after="0"/>
        <w:rPr>
          <w:rStyle w:val="CaptionChar"/>
          <w:rFonts w:eastAsiaTheme="minorHAnsi" w:cs="Arial"/>
          <w:szCs w:val="22"/>
        </w:rPr>
      </w:pPr>
      <w:r w:rsidRPr="000F36C2">
        <w:rPr>
          <w:rStyle w:val="CaptionChar"/>
          <w:rFonts w:eastAsiaTheme="minorHAnsi" w:cs="Arial"/>
          <w:szCs w:val="22"/>
        </w:rPr>
        <w:t>Analogamente, la nuova infrastruttura, non ricade in aree a rischio idraulico, se non per il tratto in attraversamento fluviale.</w:t>
      </w:r>
    </w:p>
    <w:p w14:paraId="5C4943C8" w14:textId="77777777" w:rsidR="0019162B" w:rsidRPr="000F36C2" w:rsidRDefault="0019162B" w:rsidP="0019162B">
      <w:pPr>
        <w:rPr>
          <w:rFonts w:ascii="Arial" w:hAnsi="Arial" w:cs="Arial"/>
        </w:rPr>
      </w:pPr>
    </w:p>
    <w:p w14:paraId="01BA41B4" w14:textId="77777777" w:rsidR="0019162B" w:rsidRPr="000F36C2" w:rsidRDefault="0019162B" w:rsidP="0019162B">
      <w:pPr>
        <w:rPr>
          <w:rFonts w:ascii="Arial" w:hAnsi="Arial" w:cs="Arial"/>
        </w:rPr>
      </w:pPr>
    </w:p>
    <w:p w14:paraId="61773509" w14:textId="77777777" w:rsidR="0019162B" w:rsidRPr="000F36C2" w:rsidRDefault="0019162B" w:rsidP="0019162B">
      <w:pPr>
        <w:rPr>
          <w:rFonts w:ascii="Arial" w:hAnsi="Arial" w:cs="Arial"/>
        </w:rPr>
      </w:pPr>
    </w:p>
    <w:p w14:paraId="353A7F47" w14:textId="10F1C950" w:rsidR="0019162B" w:rsidRPr="000F36C2" w:rsidRDefault="0019162B" w:rsidP="000F36C2">
      <w:pPr>
        <w:pStyle w:val="3TI-JLTTitolo1"/>
        <w:numPr>
          <w:ilvl w:val="0"/>
          <w:numId w:val="1"/>
        </w:numPr>
        <w:ind w:left="1134" w:hanging="1134"/>
        <w:rPr>
          <w:rFonts w:cs="Arial"/>
          <w:bCs/>
          <w:caps w:val="0"/>
          <w:sz w:val="22"/>
          <w:szCs w:val="22"/>
        </w:rPr>
      </w:pPr>
      <w:bookmarkStart w:id="10" w:name="_Toc141085131"/>
      <w:r w:rsidRPr="000F36C2">
        <w:rPr>
          <w:rFonts w:cs="Arial"/>
          <w:bCs/>
          <w:caps w:val="0"/>
          <w:sz w:val="22"/>
          <w:szCs w:val="22"/>
        </w:rPr>
        <w:lastRenderedPageBreak/>
        <w:t>OBIETTIVI E CRITERI DELLA PROGETTAZIONE</w:t>
      </w:r>
      <w:bookmarkEnd w:id="10"/>
    </w:p>
    <w:p w14:paraId="20318B94" w14:textId="77777777" w:rsidR="0019162B" w:rsidRPr="000F36C2" w:rsidRDefault="0019162B" w:rsidP="0019162B">
      <w:pPr>
        <w:rPr>
          <w:rFonts w:ascii="Arial" w:hAnsi="Arial" w:cs="Arial"/>
          <w:iCs/>
        </w:rPr>
      </w:pPr>
      <w:r w:rsidRPr="000F36C2">
        <w:rPr>
          <w:rFonts w:ascii="Arial" w:hAnsi="Arial" w:cs="Arial"/>
          <w:iCs/>
        </w:rPr>
        <w:t>Il presente progetto idraulico descrive le future scelte in termini di compatibilità idraulica e per il dimensionamento delle opere idrauliche, nella fattispecie:</w:t>
      </w:r>
    </w:p>
    <w:p w14:paraId="27C47CDE" w14:textId="77777777" w:rsidR="0019162B" w:rsidRPr="000F36C2" w:rsidRDefault="0019162B" w:rsidP="0019162B">
      <w:pPr>
        <w:pStyle w:val="ListParagraph"/>
        <w:numPr>
          <w:ilvl w:val="0"/>
          <w:numId w:val="25"/>
        </w:numPr>
        <w:rPr>
          <w:rFonts w:ascii="Arial" w:hAnsi="Arial" w:cs="Arial"/>
          <w:iCs/>
        </w:rPr>
      </w:pPr>
      <w:r w:rsidRPr="000F36C2">
        <w:rPr>
          <w:rFonts w:ascii="Arial" w:hAnsi="Arial" w:cs="Arial"/>
          <w:iCs/>
        </w:rPr>
        <w:t>Definizione plano-altimetrica del tracciato in riferimento alla gestione delle interferenze col reticolo idrografico superficiale</w:t>
      </w:r>
    </w:p>
    <w:p w14:paraId="37F70ACB" w14:textId="77777777" w:rsidR="0019162B" w:rsidRPr="000F36C2" w:rsidRDefault="0019162B" w:rsidP="0019162B">
      <w:pPr>
        <w:pStyle w:val="ListParagraph"/>
        <w:numPr>
          <w:ilvl w:val="0"/>
          <w:numId w:val="25"/>
        </w:numPr>
        <w:rPr>
          <w:rFonts w:ascii="Arial" w:hAnsi="Arial" w:cs="Arial"/>
          <w:iCs/>
        </w:rPr>
      </w:pPr>
      <w:r w:rsidRPr="000F36C2">
        <w:rPr>
          <w:rFonts w:ascii="Arial" w:hAnsi="Arial" w:cs="Arial"/>
          <w:iCs/>
        </w:rPr>
        <w:t>Opere di attraversamento del reticolo idrografico superficiale con cui interferisce il tracciato del nuovo asse stradale in progetto, al fine di rispettare le condizioni di sicurezza idraulica.</w:t>
      </w:r>
    </w:p>
    <w:p w14:paraId="1B65E5CA" w14:textId="77777777" w:rsidR="0019162B" w:rsidRPr="000F36C2" w:rsidRDefault="0019162B" w:rsidP="0019162B">
      <w:pPr>
        <w:pStyle w:val="ListParagraph"/>
        <w:numPr>
          <w:ilvl w:val="0"/>
          <w:numId w:val="25"/>
        </w:numPr>
        <w:rPr>
          <w:rFonts w:ascii="Arial" w:hAnsi="Arial" w:cs="Arial"/>
          <w:iCs/>
        </w:rPr>
      </w:pPr>
      <w:r w:rsidRPr="000F36C2">
        <w:rPr>
          <w:rFonts w:ascii="Arial" w:hAnsi="Arial" w:cs="Arial"/>
          <w:iCs/>
        </w:rPr>
        <w:t>Opere per la gestione delle acque meteoriche di piattaforma.</w:t>
      </w:r>
    </w:p>
    <w:p w14:paraId="2F2D3A45" w14:textId="691BBFCF" w:rsidR="0019162B" w:rsidRPr="000F36C2" w:rsidRDefault="0019162B" w:rsidP="000F36C2">
      <w:pPr>
        <w:pStyle w:val="3TI-JLTTitolo1"/>
        <w:numPr>
          <w:ilvl w:val="1"/>
          <w:numId w:val="1"/>
        </w:numPr>
        <w:ind w:left="1134" w:hanging="1134"/>
        <w:rPr>
          <w:rFonts w:cs="Arial"/>
          <w:sz w:val="22"/>
          <w:szCs w:val="22"/>
        </w:rPr>
      </w:pPr>
      <w:bookmarkStart w:id="11" w:name="_Toc141085132"/>
      <w:r w:rsidRPr="000F36C2">
        <w:rPr>
          <w:rFonts w:cs="Arial"/>
          <w:sz w:val="22"/>
          <w:szCs w:val="22"/>
        </w:rPr>
        <w:lastRenderedPageBreak/>
        <w:t>COMPATIBILITA’ IDRAULICA</w:t>
      </w:r>
      <w:bookmarkEnd w:id="11"/>
    </w:p>
    <w:p w14:paraId="75213245" w14:textId="77777777" w:rsidR="0019162B" w:rsidRPr="000F36C2" w:rsidRDefault="0019162B" w:rsidP="0019162B">
      <w:pPr>
        <w:rPr>
          <w:rFonts w:ascii="Arial" w:hAnsi="Arial" w:cs="Arial"/>
        </w:rPr>
      </w:pPr>
      <w:r w:rsidRPr="000F36C2">
        <w:rPr>
          <w:rFonts w:ascii="Arial" w:hAnsi="Arial" w:cs="Arial"/>
        </w:rPr>
        <w:t>La presente analisi di compatibilità idraulica è stata redatta sulla base di quanto previsto dalla L.R. 22/2011 e dalla D.G.R. n.53/2014</w:t>
      </w:r>
      <w:bookmarkStart w:id="12" w:name="_Hlk57981562"/>
      <w:r w:rsidRPr="000F36C2">
        <w:rPr>
          <w:rFonts w:ascii="Arial" w:hAnsi="Arial" w:cs="Arial"/>
        </w:rPr>
        <w:t>, oltre che in riferimento specifico alle norme tecniche di attuazione del Piano di Gestione del Rischio di Alluvioni, mirando a soddisfare i due seguenti obiettivi principali:</w:t>
      </w:r>
    </w:p>
    <w:bookmarkEnd w:id="12"/>
    <w:p w14:paraId="15926CAB" w14:textId="77777777" w:rsidR="0019162B" w:rsidRPr="000F36C2" w:rsidRDefault="0019162B" w:rsidP="0019162B">
      <w:pPr>
        <w:pStyle w:val="ListParagraph"/>
        <w:numPr>
          <w:ilvl w:val="0"/>
          <w:numId w:val="26"/>
        </w:numPr>
        <w:spacing w:before="120" w:after="0" w:line="240" w:lineRule="auto"/>
        <w:contextualSpacing w:val="0"/>
        <w:rPr>
          <w:rFonts w:ascii="Arial" w:hAnsi="Arial" w:cs="Arial"/>
        </w:rPr>
      </w:pPr>
      <w:r w:rsidRPr="000F36C2">
        <w:rPr>
          <w:rFonts w:ascii="Arial" w:hAnsi="Arial" w:cs="Arial"/>
        </w:rPr>
        <w:t>Assicurare la sicurezza idraulica dell’infrastruttura a fronte di eventi meteorici riferiti ad un tempo di ritorno pari a 200 anni, mediante la definizione di un profilo altimetrico al di sopra dei battenti idrici attesi, sia in alveo che nelle aree golenali o di espansione;</w:t>
      </w:r>
    </w:p>
    <w:p w14:paraId="2D5F894E" w14:textId="77777777" w:rsidR="0019162B" w:rsidRPr="000F36C2" w:rsidRDefault="0019162B" w:rsidP="0019162B">
      <w:pPr>
        <w:pStyle w:val="ListParagraph"/>
        <w:numPr>
          <w:ilvl w:val="0"/>
          <w:numId w:val="26"/>
        </w:numPr>
        <w:spacing w:before="120" w:after="0" w:line="240" w:lineRule="auto"/>
        <w:contextualSpacing w:val="0"/>
        <w:rPr>
          <w:rFonts w:ascii="Arial" w:hAnsi="Arial" w:cs="Arial"/>
        </w:rPr>
      </w:pPr>
      <w:r w:rsidRPr="000F36C2">
        <w:rPr>
          <w:rFonts w:ascii="Arial" w:hAnsi="Arial" w:cs="Arial"/>
        </w:rPr>
        <w:t>Assicurare l’invarianza idraulica delle macro-aree interessate dalla realizzazione della nuova infrastruttura, con particolare attenzione a:</w:t>
      </w:r>
    </w:p>
    <w:p w14:paraId="45233D1E" w14:textId="77777777" w:rsidR="0019162B" w:rsidRPr="000F36C2" w:rsidRDefault="0019162B" w:rsidP="0019162B">
      <w:pPr>
        <w:pStyle w:val="ListParagraph"/>
        <w:numPr>
          <w:ilvl w:val="1"/>
          <w:numId w:val="26"/>
        </w:numPr>
        <w:spacing w:before="120" w:after="0" w:line="240" w:lineRule="auto"/>
        <w:contextualSpacing w:val="0"/>
        <w:rPr>
          <w:rFonts w:ascii="Arial" w:hAnsi="Arial" w:cs="Arial"/>
        </w:rPr>
      </w:pPr>
      <w:r w:rsidRPr="000F36C2">
        <w:rPr>
          <w:rFonts w:ascii="Arial" w:hAnsi="Arial" w:cs="Arial"/>
        </w:rPr>
        <w:t>Garantire continuità ai corsi d’acqua principali e secondari mediante la realizzazione di attraversamenti idraulici in modo da non rendere il nuovo rilevato stradale un ostacolo al libero deflusso delle acque e da mantenere una corretta regimazione idrografica dell’intera area;</w:t>
      </w:r>
    </w:p>
    <w:p w14:paraId="73EC822F" w14:textId="77777777" w:rsidR="0019162B" w:rsidRPr="000F36C2" w:rsidRDefault="0019162B" w:rsidP="0019162B">
      <w:pPr>
        <w:pStyle w:val="ListParagraph"/>
        <w:numPr>
          <w:ilvl w:val="1"/>
          <w:numId w:val="26"/>
        </w:numPr>
        <w:spacing w:before="120" w:after="0" w:line="240" w:lineRule="auto"/>
        <w:contextualSpacing w:val="0"/>
        <w:rPr>
          <w:rFonts w:ascii="Arial" w:hAnsi="Arial" w:cs="Arial"/>
        </w:rPr>
      </w:pPr>
      <w:r w:rsidRPr="000F36C2">
        <w:rPr>
          <w:rFonts w:ascii="Arial" w:hAnsi="Arial" w:cs="Arial"/>
        </w:rPr>
        <w:t>Far fronte all’impermeabilizzazione di nuove aree prevedendo opere di mitigazione del rischio idraulico indotto dal nuovo asse viario mediante realizzazione di bacini di laminazione che consentono il deflusso controllato nei corsi d’acqua e fossi recettori.</w:t>
      </w:r>
    </w:p>
    <w:p w14:paraId="534B408E" w14:textId="77777777" w:rsidR="0019162B" w:rsidRPr="000F36C2" w:rsidRDefault="0019162B" w:rsidP="0019162B">
      <w:pPr>
        <w:spacing w:before="120" w:after="0" w:line="240" w:lineRule="auto"/>
        <w:rPr>
          <w:rFonts w:ascii="Arial" w:hAnsi="Arial" w:cs="Arial"/>
        </w:rPr>
      </w:pPr>
      <w:r w:rsidRPr="000F36C2">
        <w:rPr>
          <w:rFonts w:ascii="Arial" w:hAnsi="Arial" w:cs="Arial"/>
        </w:rPr>
        <w:t>Il progetto prevede l’attraversamento del Fiume Tenna mediante ponte ad arco, senza pile in alveo, di lunghezza maggiore (215m). Questa soluzione consente alla nuova opera di non interferire con le aree di esondazione del corso d’acqua ed evitare interferenze con il deflusso delle piene straordinarie.</w:t>
      </w:r>
    </w:p>
    <w:p w14:paraId="08F86E9E" w14:textId="77777777" w:rsidR="0019162B" w:rsidRPr="000F36C2" w:rsidRDefault="0019162B" w:rsidP="0019162B">
      <w:pPr>
        <w:spacing w:before="120" w:after="0" w:line="240" w:lineRule="auto"/>
        <w:rPr>
          <w:rFonts w:ascii="Arial" w:hAnsi="Arial" w:cs="Arial"/>
        </w:rPr>
      </w:pPr>
      <w:r w:rsidRPr="000F36C2">
        <w:rPr>
          <w:rFonts w:ascii="Arial" w:hAnsi="Arial" w:cs="Arial"/>
        </w:rPr>
        <w:t>Il presente PFTE analizza la compatibilità idraulica dell’opera in termini di sicurezza idraulica del piano viario e di invarianza idraulica nei confronti del deflusso delle piene allo stato di fatto dei luoghi</w:t>
      </w:r>
    </w:p>
    <w:p w14:paraId="3DB84D82" w14:textId="78727519" w:rsidR="0019162B" w:rsidRPr="000F36C2" w:rsidRDefault="0019162B" w:rsidP="0019162B">
      <w:pPr>
        <w:pStyle w:val="Heading3"/>
        <w:rPr>
          <w:rFonts w:ascii="Arial" w:hAnsi="Arial" w:cs="Arial"/>
        </w:rPr>
      </w:pPr>
      <w:bookmarkStart w:id="13" w:name="_Toc141085133"/>
      <w:r w:rsidRPr="000F36C2">
        <w:rPr>
          <w:rFonts w:ascii="Arial" w:hAnsi="Arial" w:cs="Arial"/>
        </w:rPr>
        <w:t>Sicurezza idraulica dell’infrastruttura</w:t>
      </w:r>
      <w:bookmarkEnd w:id="13"/>
    </w:p>
    <w:p w14:paraId="62825136" w14:textId="77777777" w:rsidR="0019162B" w:rsidRPr="000F36C2" w:rsidRDefault="0019162B" w:rsidP="0019162B">
      <w:pPr>
        <w:rPr>
          <w:rFonts w:ascii="Arial" w:hAnsi="Arial" w:cs="Arial"/>
        </w:rPr>
      </w:pPr>
      <w:r w:rsidRPr="000F36C2">
        <w:rPr>
          <w:rFonts w:ascii="Arial" w:hAnsi="Arial" w:cs="Arial"/>
        </w:rPr>
        <w:t xml:space="preserve">Per quanto riguarda la sicurezza dell’infrastruttura, sarà prevista l’imposta del piano viario al di sopra dei livelli esondativi </w:t>
      </w:r>
      <w:proofErr w:type="spellStart"/>
      <w:r w:rsidRPr="000F36C2">
        <w:rPr>
          <w:rFonts w:ascii="Arial" w:hAnsi="Arial" w:cs="Arial"/>
        </w:rPr>
        <w:t>duecentennali</w:t>
      </w:r>
      <w:proofErr w:type="spellEnd"/>
      <w:r w:rsidRPr="000F36C2">
        <w:rPr>
          <w:rFonts w:ascii="Arial" w:hAnsi="Arial" w:cs="Arial"/>
        </w:rPr>
        <w:t>.</w:t>
      </w:r>
    </w:p>
    <w:p w14:paraId="3C726E6B" w14:textId="77777777" w:rsidR="0019162B" w:rsidRPr="000F36C2" w:rsidRDefault="0019162B" w:rsidP="0019162B">
      <w:pPr>
        <w:jc w:val="left"/>
        <w:rPr>
          <w:rFonts w:ascii="Arial" w:hAnsi="Arial" w:cs="Arial"/>
        </w:rPr>
      </w:pPr>
    </w:p>
    <w:p w14:paraId="0D02C4A2" w14:textId="36ED4024" w:rsidR="0019162B" w:rsidRPr="000F36C2" w:rsidRDefault="0019162B" w:rsidP="0019162B">
      <w:pPr>
        <w:pStyle w:val="Heading3"/>
        <w:rPr>
          <w:rFonts w:ascii="Arial" w:hAnsi="Arial" w:cs="Arial"/>
        </w:rPr>
      </w:pPr>
      <w:bookmarkStart w:id="14" w:name="_Toc141085134"/>
      <w:r w:rsidRPr="000F36C2">
        <w:rPr>
          <w:rFonts w:ascii="Arial" w:hAnsi="Arial" w:cs="Arial"/>
        </w:rPr>
        <w:t>Invarianza idraulica</w:t>
      </w:r>
      <w:bookmarkEnd w:id="14"/>
    </w:p>
    <w:p w14:paraId="3E3E3273" w14:textId="77777777" w:rsidR="0019162B" w:rsidRPr="000F36C2" w:rsidRDefault="0019162B" w:rsidP="0019162B">
      <w:pPr>
        <w:rPr>
          <w:rFonts w:ascii="Arial" w:hAnsi="Arial" w:cs="Arial"/>
        </w:rPr>
      </w:pPr>
      <w:r w:rsidRPr="000F36C2">
        <w:rPr>
          <w:rFonts w:ascii="Arial" w:hAnsi="Arial" w:cs="Arial"/>
        </w:rPr>
        <w:t>In merito all’invarianza idraulica dell’intervento il tracciato interferisce con le aree a pericolosità idraulica per uno sviluppo pari all’11% del totale, ossia per il solo tratto di attraversamento del Fiume Tenna. Dunque non risultano interferenze con le aree di esondazione mappate nel PGRA</w:t>
      </w:r>
    </w:p>
    <w:p w14:paraId="73223712" w14:textId="77777777" w:rsidR="0019162B" w:rsidRPr="000F36C2" w:rsidRDefault="0019162B" w:rsidP="0019162B">
      <w:pPr>
        <w:rPr>
          <w:rFonts w:ascii="Arial" w:hAnsi="Arial" w:cs="Arial"/>
        </w:rPr>
      </w:pPr>
      <w:r w:rsidRPr="000F36C2">
        <w:rPr>
          <w:rFonts w:ascii="Arial" w:hAnsi="Arial" w:cs="Arial"/>
        </w:rPr>
        <w:t>L’opera quindi non induce una varianza in termini idraulici nelle aree attraversate.</w:t>
      </w:r>
    </w:p>
    <w:p w14:paraId="02A7B0D1" w14:textId="77777777" w:rsidR="0019162B" w:rsidRPr="000F36C2" w:rsidRDefault="0019162B" w:rsidP="0019162B">
      <w:pPr>
        <w:rPr>
          <w:rFonts w:ascii="Arial" w:hAnsi="Arial" w:cs="Arial"/>
        </w:rPr>
      </w:pPr>
      <w:r w:rsidRPr="000F36C2">
        <w:rPr>
          <w:rFonts w:ascii="Arial" w:hAnsi="Arial" w:cs="Arial"/>
        </w:rPr>
        <w:lastRenderedPageBreak/>
        <w:t>Anche la proposta progettuale dell’attraversamento costituito da un ponte ad arco, senza pila in alveo, non presenta problematiche di tipo idraulico, in quanto non sono presenti interferenze dirette con il deflusso delle piene del Fiume Tenna.</w:t>
      </w:r>
    </w:p>
    <w:p w14:paraId="7636FE64" w14:textId="6288B784" w:rsidR="0019162B" w:rsidRPr="000F36C2" w:rsidRDefault="0019162B" w:rsidP="0019162B">
      <w:pPr>
        <w:pStyle w:val="Heading2"/>
        <w:rPr>
          <w:rFonts w:ascii="Arial" w:hAnsi="Arial" w:cs="Arial"/>
          <w:sz w:val="22"/>
          <w:szCs w:val="22"/>
        </w:rPr>
      </w:pPr>
      <w:bookmarkStart w:id="15" w:name="_Toc141085135"/>
      <w:r w:rsidRPr="000F36C2">
        <w:rPr>
          <w:rFonts w:ascii="Arial" w:hAnsi="Arial" w:cs="Arial"/>
          <w:sz w:val="22"/>
          <w:szCs w:val="22"/>
        </w:rPr>
        <w:t>GESTIONE DELLE INTERFERENZE CON IL RETICOLO IDROGRAFICO</w:t>
      </w:r>
      <w:bookmarkEnd w:id="15"/>
    </w:p>
    <w:p w14:paraId="36CA3293" w14:textId="77777777" w:rsidR="0019162B" w:rsidRPr="000F36C2" w:rsidRDefault="0019162B" w:rsidP="0019162B">
      <w:pPr>
        <w:rPr>
          <w:rFonts w:ascii="Arial" w:hAnsi="Arial" w:cs="Arial"/>
          <w:iCs/>
        </w:rPr>
      </w:pPr>
      <w:r w:rsidRPr="000F36C2">
        <w:rPr>
          <w:rFonts w:ascii="Arial" w:hAnsi="Arial" w:cs="Arial"/>
          <w:iCs/>
        </w:rPr>
        <w:t>Il dimensionamento e la verifica delle opere idrauliche principali saranno sviluppate con riferimento al tempo di ritorno 200 anni, in linea con le NTC 2018 ed in particolare con la Circolare 21 gennaio 2019, n. 7 C.S.</w:t>
      </w:r>
      <w:proofErr w:type="gramStart"/>
      <w:r w:rsidRPr="000F36C2">
        <w:rPr>
          <w:rFonts w:ascii="Arial" w:hAnsi="Arial" w:cs="Arial"/>
          <w:iCs/>
        </w:rPr>
        <w:t>LL.PP</w:t>
      </w:r>
      <w:proofErr w:type="gramEnd"/>
      <w:r w:rsidRPr="000F36C2">
        <w:rPr>
          <w:rFonts w:ascii="Arial" w:hAnsi="Arial" w:cs="Arial"/>
          <w:iCs/>
        </w:rPr>
        <w:t xml:space="preserve"> che specifica:</w:t>
      </w:r>
    </w:p>
    <w:p w14:paraId="0602FFB5" w14:textId="77777777" w:rsidR="0019162B" w:rsidRPr="000F36C2" w:rsidRDefault="0019162B" w:rsidP="0019162B">
      <w:pPr>
        <w:rPr>
          <w:rFonts w:ascii="Arial" w:hAnsi="Arial" w:cs="Arial"/>
          <w:i/>
        </w:rPr>
      </w:pPr>
      <w:r w:rsidRPr="000F36C2">
        <w:rPr>
          <w:rFonts w:ascii="Arial" w:hAnsi="Arial" w:cs="Arial"/>
          <w:i/>
        </w:rPr>
        <w:t>punto C5.1.2.3): "L’evento da assumere a base del progetto di un tombino ha comunque tempo di ritorno uguale a quello da assumere per i ponti”</w:t>
      </w:r>
    </w:p>
    <w:p w14:paraId="3C186F1D" w14:textId="77777777" w:rsidR="0019162B" w:rsidRPr="000F36C2" w:rsidRDefault="0019162B" w:rsidP="0019162B">
      <w:pPr>
        <w:rPr>
          <w:rFonts w:ascii="Arial" w:hAnsi="Arial" w:cs="Arial"/>
          <w:iCs/>
        </w:rPr>
      </w:pPr>
      <w:r w:rsidRPr="000F36C2">
        <w:rPr>
          <w:rFonts w:ascii="Arial" w:hAnsi="Arial" w:cs="Arial"/>
          <w:iCs/>
        </w:rPr>
        <w:t>posto che per i ponti le NTC specificano:</w:t>
      </w:r>
    </w:p>
    <w:p w14:paraId="106B7365" w14:textId="77777777" w:rsidR="0019162B" w:rsidRPr="000F36C2" w:rsidRDefault="0019162B" w:rsidP="0019162B">
      <w:pPr>
        <w:rPr>
          <w:rFonts w:ascii="Arial" w:hAnsi="Arial" w:cs="Arial"/>
        </w:rPr>
      </w:pPr>
      <w:r w:rsidRPr="000F36C2">
        <w:rPr>
          <w:rFonts w:ascii="Arial" w:hAnsi="Arial" w:cs="Arial"/>
          <w:i/>
        </w:rPr>
        <w:t xml:space="preserve">punto 5.1.2.3 Compatibilità idraulica “Deve in ogni caso essere definita una piena di progetto caratterizzata da un tempo di ritorno </w:t>
      </w:r>
      <w:proofErr w:type="spellStart"/>
      <w:r w:rsidRPr="000F36C2">
        <w:rPr>
          <w:rFonts w:ascii="Arial" w:hAnsi="Arial" w:cs="Arial"/>
          <w:i/>
        </w:rPr>
        <w:t>Tr</w:t>
      </w:r>
      <w:proofErr w:type="spellEnd"/>
      <w:r w:rsidRPr="000F36C2">
        <w:rPr>
          <w:rFonts w:ascii="Arial" w:hAnsi="Arial" w:cs="Arial"/>
          <w:i/>
        </w:rPr>
        <w:t xml:space="preserve"> pari a 200 anni (</w:t>
      </w:r>
      <w:proofErr w:type="spellStart"/>
      <w:r w:rsidRPr="000F36C2">
        <w:rPr>
          <w:rFonts w:ascii="Arial" w:hAnsi="Arial" w:cs="Arial"/>
          <w:i/>
        </w:rPr>
        <w:t>Tr</w:t>
      </w:r>
      <w:proofErr w:type="spellEnd"/>
      <w:r w:rsidRPr="000F36C2">
        <w:rPr>
          <w:rFonts w:ascii="Arial" w:hAnsi="Arial" w:cs="Arial"/>
          <w:i/>
        </w:rPr>
        <w:t>=200)”</w:t>
      </w:r>
    </w:p>
    <w:p w14:paraId="0536A497" w14:textId="77777777" w:rsidR="0019162B" w:rsidRPr="000F36C2" w:rsidRDefault="0019162B" w:rsidP="0019162B">
      <w:pPr>
        <w:rPr>
          <w:rFonts w:ascii="Arial" w:hAnsi="Arial" w:cs="Arial"/>
          <w:iCs/>
        </w:rPr>
      </w:pPr>
      <w:r w:rsidRPr="000F36C2">
        <w:rPr>
          <w:rFonts w:ascii="Arial" w:hAnsi="Arial" w:cs="Arial"/>
          <w:iCs/>
        </w:rPr>
        <w:t>Considerando quindi le opere che dovranno essere realizzate, i criteri per la verifica idraulica dei manufatti sono i seguenti:</w:t>
      </w:r>
    </w:p>
    <w:p w14:paraId="1C54DF7E" w14:textId="77777777" w:rsidR="0019162B" w:rsidRPr="000F36C2" w:rsidRDefault="0019162B" w:rsidP="0019162B">
      <w:pPr>
        <w:pStyle w:val="ListParagraph"/>
        <w:numPr>
          <w:ilvl w:val="0"/>
          <w:numId w:val="3"/>
        </w:numPr>
        <w:rPr>
          <w:rFonts w:ascii="Arial" w:hAnsi="Arial" w:cs="Arial"/>
          <w:i/>
        </w:rPr>
      </w:pPr>
      <w:r w:rsidRPr="000F36C2">
        <w:rPr>
          <w:rFonts w:ascii="Arial" w:hAnsi="Arial" w:cs="Arial"/>
          <w:iCs/>
        </w:rPr>
        <w:t>Attraversamenti idraulici principali (ponti): verifica in condizioni di moto vario considerando un franco idraulico non inferiore ad 1.50m (Rif. normativo punto 5.1.2.3 delle NTC2018</w:t>
      </w:r>
      <w:r w:rsidRPr="000F36C2">
        <w:rPr>
          <w:rFonts w:ascii="Arial" w:hAnsi="Arial" w:cs="Arial"/>
          <w:i/>
        </w:rPr>
        <w:t xml:space="preserve"> </w:t>
      </w:r>
      <w:r w:rsidRPr="000F36C2">
        <w:rPr>
          <w:rFonts w:ascii="Arial" w:hAnsi="Arial" w:cs="Arial"/>
          <w:iCs/>
        </w:rPr>
        <w:t>“</w:t>
      </w:r>
      <w:r w:rsidRPr="000F36C2">
        <w:rPr>
          <w:rFonts w:ascii="Arial" w:hAnsi="Arial" w:cs="Arial"/>
          <w:i/>
        </w:rPr>
        <w:t>Il franco idraulico, definito come la distanza fra la quota liquida di progetto immediatamente a monte del ponte e l’intradosso delle strutture, è da assumersi non inferiore a 1,50 m, e comunque dovrà essere scelto tenendo conto di considerazioni e previsioni sul trasporto solido di fondo e sul trasporto di materiale galleggiante, garantendo una adeguata distanza fra l’intradosso delle strutture e il fondo alveo”)</w:t>
      </w:r>
    </w:p>
    <w:p w14:paraId="7F0EA5CF" w14:textId="77777777" w:rsidR="0019162B" w:rsidRPr="000F36C2" w:rsidRDefault="0019162B" w:rsidP="0019162B">
      <w:pPr>
        <w:pStyle w:val="ListParagraph"/>
        <w:numPr>
          <w:ilvl w:val="0"/>
          <w:numId w:val="3"/>
        </w:numPr>
        <w:rPr>
          <w:rFonts w:ascii="Arial" w:hAnsi="Arial" w:cs="Arial"/>
        </w:rPr>
      </w:pPr>
      <w:r w:rsidRPr="000F36C2">
        <w:rPr>
          <w:rFonts w:ascii="Arial" w:hAnsi="Arial" w:cs="Arial"/>
          <w:iCs/>
        </w:rPr>
        <w:t>Tombini idraulici principali (tombini scatolari): verifica in condizioni di moto vario considerando un franco idraulico superiore al 33% dell’altezza utile dell’opera, e comunque non inferiore a 50cm (Rif. normativo punto C5.1.2.3 della Circolare 2019 “</w:t>
      </w:r>
      <w:r w:rsidRPr="000F36C2">
        <w:rPr>
          <w:rFonts w:ascii="Arial" w:hAnsi="Arial" w:cs="Arial"/>
          <w:i/>
        </w:rPr>
        <w:t>nel caso di funzionamento a superficie libera, il tirante idrico non dovrà superare i 2/3 dell’altezza della sezione, garantendo comunque un franco minimo di 0,50 m</w:t>
      </w:r>
      <w:r w:rsidRPr="000F36C2">
        <w:rPr>
          <w:rFonts w:ascii="Arial" w:hAnsi="Arial" w:cs="Arial"/>
          <w:iCs/>
        </w:rPr>
        <w:t>”)</w:t>
      </w:r>
    </w:p>
    <w:p w14:paraId="6FFBE983" w14:textId="77777777" w:rsidR="0019162B" w:rsidRPr="000F36C2" w:rsidRDefault="0019162B" w:rsidP="0019162B">
      <w:pPr>
        <w:pStyle w:val="ListParagraph"/>
        <w:numPr>
          <w:ilvl w:val="0"/>
          <w:numId w:val="3"/>
        </w:numPr>
        <w:rPr>
          <w:rFonts w:ascii="Arial" w:hAnsi="Arial" w:cs="Arial"/>
        </w:rPr>
      </w:pPr>
      <w:r w:rsidRPr="000F36C2">
        <w:rPr>
          <w:rFonts w:ascii="Arial" w:hAnsi="Arial" w:cs="Arial"/>
        </w:rPr>
        <w:t xml:space="preserve">I tombini secondari, a causa della incerta definizione delle aree tributarie e degli apporti provenienti dai canali irrigui di adduzione, saranno inizialmente dimensionati considerando </w:t>
      </w:r>
      <w:r w:rsidRPr="000F36C2">
        <w:rPr>
          <w:rFonts w:ascii="Arial" w:hAnsi="Arial" w:cs="Arial"/>
        </w:rPr>
        <w:lastRenderedPageBreak/>
        <w:t>condizioni di moto uniforme e portata di progetto pari a quella massima smaltibile a sezione piena dal fosso interferito dall’infrastruttura, garantendo un grado di riempimento inferiore al 70% della sezione del tombino. Analisi più accurate potranno essere sviluppate nelle fasi di progettazioni successive, in parallelo con la definizione di miglior dettaglio del quadro conoscitivo.</w:t>
      </w:r>
    </w:p>
    <w:p w14:paraId="2E3A3569" w14:textId="77777777" w:rsidR="0019162B" w:rsidRPr="000F36C2" w:rsidRDefault="0019162B" w:rsidP="0019162B">
      <w:pPr>
        <w:rPr>
          <w:rFonts w:ascii="Arial" w:hAnsi="Arial" w:cs="Arial"/>
        </w:rPr>
      </w:pPr>
      <w:r w:rsidRPr="000F36C2">
        <w:rPr>
          <w:rFonts w:ascii="Arial" w:hAnsi="Arial" w:cs="Arial"/>
        </w:rPr>
        <w:t>In relazione all’opera di attraversamento sarà sviluppato un modello idraulico in ambiente HEC-RAS, con il quale stimare la quota della piena riferita ad un tempo di ritorno pari a 200 anni e impostare di conseguenza la quota dell’impalcato del ponte.</w:t>
      </w:r>
    </w:p>
    <w:p w14:paraId="0A1FC980" w14:textId="77777777" w:rsidR="0019162B" w:rsidRPr="000F36C2" w:rsidRDefault="0019162B" w:rsidP="0019162B">
      <w:pPr>
        <w:rPr>
          <w:rFonts w:ascii="Arial" w:hAnsi="Arial" w:cs="Arial"/>
        </w:rPr>
      </w:pPr>
      <w:r w:rsidRPr="000F36C2">
        <w:rPr>
          <w:rFonts w:ascii="Arial" w:hAnsi="Arial" w:cs="Arial"/>
        </w:rPr>
        <w:t xml:space="preserve">Oltre a ciò, saranno stimate le portate dei corsi d’acqua minori interferenti con l’infrastruttura e dimensionati tombini scatolari o circolari di adeguate dimensioni per far sì che la nuova infrastruttura non costituisca un ostacolo al libero deflusso delle piene, sia di scorrimento nei corsi d’acqua (principali o secondari che siano) che in aree golenali in caso di </w:t>
      </w:r>
      <w:proofErr w:type="spellStart"/>
      <w:r w:rsidRPr="000F36C2">
        <w:rPr>
          <w:rFonts w:ascii="Arial" w:hAnsi="Arial" w:cs="Arial"/>
        </w:rPr>
        <w:t>asondazione</w:t>
      </w:r>
      <w:proofErr w:type="spellEnd"/>
      <w:r w:rsidRPr="000F36C2">
        <w:rPr>
          <w:rFonts w:ascii="Arial" w:hAnsi="Arial" w:cs="Arial"/>
        </w:rPr>
        <w:t>.</w:t>
      </w:r>
    </w:p>
    <w:p w14:paraId="0081EA80" w14:textId="77777777" w:rsidR="0019162B" w:rsidRPr="000F36C2" w:rsidRDefault="0019162B" w:rsidP="0019162B">
      <w:pPr>
        <w:rPr>
          <w:rFonts w:ascii="Arial" w:hAnsi="Arial" w:cs="Arial"/>
        </w:rPr>
      </w:pPr>
      <w:r w:rsidRPr="000F36C2">
        <w:rPr>
          <w:rFonts w:ascii="Arial" w:hAnsi="Arial" w:cs="Arial"/>
        </w:rPr>
        <w:t>Ai piedi del rilevato stradale saranno previsti fossi di guardia per intercettare le acque di versante e ricucire il reticolo idrografico di bonifica.</w:t>
      </w:r>
    </w:p>
    <w:p w14:paraId="130DF06B" w14:textId="77777777" w:rsidR="0019162B" w:rsidRPr="000F36C2" w:rsidRDefault="0019162B" w:rsidP="0019162B">
      <w:pPr>
        <w:rPr>
          <w:rFonts w:ascii="Arial" w:hAnsi="Arial" w:cs="Arial"/>
        </w:rPr>
      </w:pPr>
    </w:p>
    <w:p w14:paraId="18CCEA07" w14:textId="42602E25" w:rsidR="0019162B" w:rsidRPr="000F36C2" w:rsidRDefault="0019162B" w:rsidP="0019162B">
      <w:pPr>
        <w:pStyle w:val="Heading2"/>
        <w:rPr>
          <w:rFonts w:ascii="Arial" w:hAnsi="Arial" w:cs="Arial"/>
          <w:sz w:val="22"/>
          <w:szCs w:val="22"/>
        </w:rPr>
      </w:pPr>
      <w:bookmarkStart w:id="16" w:name="_Toc141085136"/>
      <w:r w:rsidRPr="000F36C2">
        <w:rPr>
          <w:rFonts w:ascii="Arial" w:hAnsi="Arial" w:cs="Arial"/>
          <w:sz w:val="22"/>
          <w:szCs w:val="22"/>
        </w:rPr>
        <w:t>DRENAGGIO E GESTIONE DELLE ACQUE DI PIATTAFORMA</w:t>
      </w:r>
      <w:bookmarkEnd w:id="16"/>
    </w:p>
    <w:p w14:paraId="083AD385" w14:textId="77777777" w:rsidR="0019162B" w:rsidRPr="000F36C2" w:rsidRDefault="0019162B" w:rsidP="0019162B">
      <w:pPr>
        <w:rPr>
          <w:rFonts w:ascii="Arial" w:hAnsi="Arial" w:cs="Arial"/>
          <w:iCs/>
        </w:rPr>
      </w:pPr>
      <w:r w:rsidRPr="000F36C2">
        <w:rPr>
          <w:rFonts w:ascii="Arial" w:hAnsi="Arial" w:cs="Arial"/>
          <w:iCs/>
        </w:rPr>
        <w:t>In questa fase preliminare si prevede la realizzazione di un sistema di drenaggio di tipo “chiuso”, ossia un sistema che prevede il drenaggio delle acque meteoriche intercettate dalla nuova piattaforma stradale mediante collettori sotto strada, il trattamento delle acque di prima pioggia ed il recapito delle acque trattate nel reticolo idrografico di superficie. Stanti le valutazioni sviluppate ad oggi, non si ritiene necessario prevedere la laminazione dei volumi drenati dalla nuova opera, ma si rimanda l’approfondimento di tale tema alla fase definitiva del progetto, in previsione di un confronto con gli enti preposti.</w:t>
      </w:r>
    </w:p>
    <w:p w14:paraId="53D13D4A" w14:textId="77777777" w:rsidR="0019162B" w:rsidRPr="000F36C2" w:rsidRDefault="0019162B" w:rsidP="0019162B">
      <w:pPr>
        <w:rPr>
          <w:rFonts w:ascii="Arial" w:hAnsi="Arial" w:cs="Arial"/>
          <w:iCs/>
        </w:rPr>
      </w:pPr>
      <w:r w:rsidRPr="000F36C2">
        <w:rPr>
          <w:rFonts w:ascii="Arial" w:hAnsi="Arial" w:cs="Arial"/>
          <w:iCs/>
        </w:rPr>
        <w:t>Il dimensionamento e la verifica delle opere idrauliche di drenaggio, trattamento e recapito delle acque meteoriche di piattaforma, saranno sviluppati con riferimento ai seguenti tempi di ritorno:</w:t>
      </w:r>
    </w:p>
    <w:p w14:paraId="1D292946" w14:textId="77777777" w:rsidR="0019162B" w:rsidRPr="000F36C2" w:rsidRDefault="0019162B" w:rsidP="0019162B">
      <w:pPr>
        <w:pStyle w:val="ListParagraph"/>
        <w:numPr>
          <w:ilvl w:val="0"/>
          <w:numId w:val="17"/>
        </w:numPr>
        <w:rPr>
          <w:rFonts w:ascii="Arial" w:hAnsi="Arial" w:cs="Arial"/>
          <w:iCs/>
        </w:rPr>
      </w:pPr>
      <w:r w:rsidRPr="000F36C2">
        <w:rPr>
          <w:rFonts w:ascii="Arial" w:hAnsi="Arial" w:cs="Arial"/>
          <w:iCs/>
        </w:rPr>
        <w:t>Collettori di drenaggio della piattaforma e interasse caditoie: TR = 25 anni;</w:t>
      </w:r>
    </w:p>
    <w:p w14:paraId="4F211515" w14:textId="77777777" w:rsidR="0019162B" w:rsidRPr="000F36C2" w:rsidRDefault="0019162B" w:rsidP="0019162B">
      <w:pPr>
        <w:pStyle w:val="ListParagraph"/>
        <w:numPr>
          <w:ilvl w:val="0"/>
          <w:numId w:val="17"/>
        </w:numPr>
        <w:rPr>
          <w:rFonts w:ascii="Arial" w:hAnsi="Arial" w:cs="Arial"/>
          <w:iCs/>
        </w:rPr>
      </w:pPr>
      <w:r w:rsidRPr="000F36C2">
        <w:rPr>
          <w:rFonts w:ascii="Arial" w:hAnsi="Arial" w:cs="Arial"/>
          <w:iCs/>
        </w:rPr>
        <w:lastRenderedPageBreak/>
        <w:t xml:space="preserve">Impianti di trattamento per le acque di prima pioggia: pioggia di riferimento pari a 5mm in 15 </w:t>
      </w:r>
      <w:proofErr w:type="spellStart"/>
      <w:r w:rsidRPr="000F36C2">
        <w:rPr>
          <w:rFonts w:ascii="Arial" w:hAnsi="Arial" w:cs="Arial"/>
          <w:iCs/>
        </w:rPr>
        <w:t>min</w:t>
      </w:r>
      <w:proofErr w:type="spellEnd"/>
      <w:r w:rsidRPr="000F36C2">
        <w:rPr>
          <w:rFonts w:ascii="Arial" w:hAnsi="Arial" w:cs="Arial"/>
          <w:iCs/>
        </w:rPr>
        <w:t xml:space="preserve"> per le vasche di trattamento e TR = 25 anni per le tubazioni di adduzione, di scarico e per il sistema di by-pass della portata;</w:t>
      </w:r>
    </w:p>
    <w:p w14:paraId="43329860" w14:textId="77777777" w:rsidR="0019162B" w:rsidRPr="000F36C2" w:rsidRDefault="0019162B" w:rsidP="0019162B">
      <w:pPr>
        <w:rPr>
          <w:rFonts w:ascii="Arial" w:hAnsi="Arial" w:cs="Arial"/>
          <w:iCs/>
        </w:rPr>
      </w:pPr>
      <w:r w:rsidRPr="000F36C2">
        <w:rPr>
          <w:rFonts w:ascii="Arial" w:hAnsi="Arial" w:cs="Arial"/>
          <w:iCs/>
        </w:rPr>
        <w:t>I criteri per la verifica idraulica dei manufatti sono i seguenti:</w:t>
      </w:r>
    </w:p>
    <w:p w14:paraId="070C7B3D" w14:textId="77777777" w:rsidR="0019162B" w:rsidRPr="000F36C2" w:rsidRDefault="0019162B" w:rsidP="0019162B">
      <w:pPr>
        <w:pStyle w:val="ListParagraph"/>
        <w:numPr>
          <w:ilvl w:val="0"/>
          <w:numId w:val="28"/>
        </w:numPr>
        <w:rPr>
          <w:rFonts w:ascii="Arial" w:hAnsi="Arial" w:cs="Arial"/>
          <w:iCs/>
        </w:rPr>
      </w:pPr>
      <w:r w:rsidRPr="000F36C2">
        <w:rPr>
          <w:rFonts w:ascii="Arial" w:hAnsi="Arial" w:cs="Arial"/>
          <w:iCs/>
        </w:rPr>
        <w:t>Collettori: verifica in condizioni di moto uniforme, effettuata confrontando la portata di progetto con la portata massima smaltibile, calcolata con il metodo cinematico. Ai fini di una buona progettazione è stato considerato un grado di riempimento massimo del 50% per collettori di diametro inferiore a 400mm e pari al 70% per diametri maggiori o uguali a 400mm;</w:t>
      </w:r>
    </w:p>
    <w:p w14:paraId="04E076E8" w14:textId="77777777" w:rsidR="0019162B" w:rsidRPr="000F36C2" w:rsidRDefault="0019162B" w:rsidP="0019162B">
      <w:pPr>
        <w:pStyle w:val="ListParagraph"/>
        <w:numPr>
          <w:ilvl w:val="0"/>
          <w:numId w:val="28"/>
        </w:numPr>
        <w:rPr>
          <w:rFonts w:ascii="Arial" w:hAnsi="Arial" w:cs="Arial"/>
          <w:iCs/>
        </w:rPr>
      </w:pPr>
      <w:r w:rsidRPr="000F36C2">
        <w:rPr>
          <w:rFonts w:ascii="Arial" w:hAnsi="Arial" w:cs="Arial"/>
          <w:iCs/>
        </w:rPr>
        <w:t>Caditoie: interasse determinato imponendo che a fronte di uno scroscio di pioggia, la vena liquida defluente sulla piattaforma sia contenuta all’interno della sola banchina (larghezza = 1.50m) in modo tale che non si crei un velo d’acqua sulle corsie di scorrimento e sia mitigato il fenomeno di acquaplaning;</w:t>
      </w:r>
    </w:p>
    <w:p w14:paraId="323E480C" w14:textId="77777777" w:rsidR="0019162B" w:rsidRPr="000F36C2" w:rsidRDefault="0019162B" w:rsidP="0019162B">
      <w:pPr>
        <w:pStyle w:val="ListParagraph"/>
        <w:numPr>
          <w:ilvl w:val="0"/>
          <w:numId w:val="28"/>
        </w:numPr>
        <w:rPr>
          <w:rFonts w:ascii="Arial" w:hAnsi="Arial" w:cs="Arial"/>
          <w:iCs/>
        </w:rPr>
      </w:pPr>
      <w:r w:rsidRPr="000F36C2">
        <w:rPr>
          <w:rFonts w:ascii="Arial" w:hAnsi="Arial" w:cs="Arial"/>
          <w:iCs/>
        </w:rPr>
        <w:t>Vasche di trattamento AMPP: trattamento mediante sistemi in continuo delle acque di prima pioggia, definite come la</w:t>
      </w:r>
      <w:r w:rsidRPr="000F36C2">
        <w:rPr>
          <w:rFonts w:ascii="Arial" w:hAnsi="Arial" w:cs="Arial"/>
        </w:rPr>
        <w:t xml:space="preserve"> </w:t>
      </w:r>
      <w:r w:rsidRPr="000F36C2">
        <w:rPr>
          <w:rFonts w:ascii="Arial" w:hAnsi="Arial" w:cs="Arial"/>
          <w:iCs/>
        </w:rPr>
        <w:t xml:space="preserve">precipitazione di </w:t>
      </w:r>
      <w:r w:rsidRPr="000F36C2">
        <w:rPr>
          <w:rFonts w:ascii="Arial" w:hAnsi="Arial" w:cs="Arial"/>
          <w:bCs/>
          <w:iCs/>
        </w:rPr>
        <w:t>5mm</w:t>
      </w:r>
      <w:r w:rsidRPr="000F36C2">
        <w:rPr>
          <w:rFonts w:ascii="Arial" w:hAnsi="Arial" w:cs="Arial"/>
          <w:iCs/>
        </w:rPr>
        <w:t xml:space="preserve"> uniformemente distribuita sull'intera superficie scolante servita dalla rete di drenaggio. Ai fini del calcolo delle portate si stabilisce che tale valore si verifichi in </w:t>
      </w:r>
      <w:r w:rsidRPr="000F36C2">
        <w:rPr>
          <w:rFonts w:ascii="Arial" w:hAnsi="Arial" w:cs="Arial"/>
          <w:bCs/>
          <w:iCs/>
        </w:rPr>
        <w:t>15 minuti</w:t>
      </w:r>
      <w:r w:rsidRPr="000F36C2">
        <w:rPr>
          <w:rFonts w:ascii="Arial" w:hAnsi="Arial" w:cs="Arial"/>
          <w:iCs/>
        </w:rPr>
        <w:t>. Gli impianti dovranno essere dimensionati e verificati ai sensi della UNI EN 858-2.</w:t>
      </w:r>
    </w:p>
    <w:p w14:paraId="1A5EBCD1" w14:textId="77777777" w:rsidR="0019162B" w:rsidRPr="000F36C2" w:rsidRDefault="0019162B" w:rsidP="0019162B">
      <w:pPr>
        <w:pStyle w:val="ListParagraph"/>
        <w:rPr>
          <w:rFonts w:ascii="Arial" w:hAnsi="Arial" w:cs="Arial"/>
          <w:iCs/>
        </w:rPr>
      </w:pPr>
      <w:r w:rsidRPr="000F36C2">
        <w:rPr>
          <w:rFonts w:ascii="Arial" w:hAnsi="Arial" w:cs="Arial"/>
          <w:iCs/>
        </w:rPr>
        <w:t>A circa 2/3 del tracciato è previsto un punto di minimo del profilo altimetrico, in prossimità del quale si prevede la realizzazione degli impianti di prima pioggia. Nel dettaglio si prevede, in questa fase progettuale, la realizzazione di n° 2 impianti di prima pioggia. Il primo sarà a servizio di circa 12600 mq di piattaforma stradale ed il secondo raccoglierà le acque drenate fino alla mezzeria del nuovo ponte sul Tenna, per una superficie complessiva di circa 380mq.</w:t>
      </w:r>
    </w:p>
    <w:p w14:paraId="3F7E6A34" w14:textId="77777777" w:rsidR="0019162B" w:rsidRPr="000F36C2" w:rsidRDefault="0019162B" w:rsidP="0019162B">
      <w:pPr>
        <w:pStyle w:val="ListParagraph"/>
        <w:rPr>
          <w:rFonts w:ascii="Arial" w:hAnsi="Arial" w:cs="Arial"/>
          <w:iCs/>
        </w:rPr>
      </w:pPr>
      <w:r w:rsidRPr="000F36C2">
        <w:rPr>
          <w:rFonts w:ascii="Arial" w:hAnsi="Arial" w:cs="Arial"/>
          <w:iCs/>
        </w:rPr>
        <w:t xml:space="preserve">Secondo un </w:t>
      </w:r>
      <w:proofErr w:type="spellStart"/>
      <w:r w:rsidRPr="000F36C2">
        <w:rPr>
          <w:rFonts w:ascii="Arial" w:hAnsi="Arial" w:cs="Arial"/>
          <w:iCs/>
        </w:rPr>
        <w:t>predimensionamento</w:t>
      </w:r>
      <w:proofErr w:type="spellEnd"/>
      <w:r w:rsidRPr="000F36C2">
        <w:rPr>
          <w:rFonts w:ascii="Arial" w:hAnsi="Arial" w:cs="Arial"/>
          <w:iCs/>
        </w:rPr>
        <w:t xml:space="preserve"> ai sensi della predetta norma, i due impianti dovranno avere una capacità di trattamento rispettivamente di 70 l/s e 30 l/s.</w:t>
      </w:r>
    </w:p>
    <w:p w14:paraId="6FBD2348" w14:textId="77777777" w:rsidR="0019162B" w:rsidRPr="000F36C2" w:rsidRDefault="0019162B" w:rsidP="0019162B">
      <w:pPr>
        <w:rPr>
          <w:rFonts w:ascii="Arial" w:hAnsi="Arial" w:cs="Arial"/>
        </w:rPr>
      </w:pPr>
      <w:r w:rsidRPr="000F36C2">
        <w:rPr>
          <w:rFonts w:ascii="Arial" w:hAnsi="Arial" w:cs="Arial"/>
        </w:rPr>
        <w:t>Per gli ultimi 150 m di tracciato si prevede il collettamento e il recapito nell’esistente rete di drenaggio della bretella della SP38 rimandando alla prossima fase progettuale un approfondimento in merito circa la capacità ricettiva della rete esistente e l’eventuale necessità di realizzare un terzo impianto di trattamento di prima pioggia.</w:t>
      </w:r>
    </w:p>
    <w:p w14:paraId="5D608E9B" w14:textId="5C4BC9D7" w:rsidR="009C0527" w:rsidRPr="000F36C2" w:rsidRDefault="009C0527" w:rsidP="00172A49">
      <w:pPr>
        <w:spacing w:after="0"/>
        <w:rPr>
          <w:rFonts w:ascii="Arial" w:hAnsi="Arial" w:cs="Arial"/>
        </w:rPr>
      </w:pPr>
    </w:p>
    <w:p w14:paraId="628B2EC5" w14:textId="77777777" w:rsidR="009C0527" w:rsidRPr="009C0527" w:rsidRDefault="009C0527" w:rsidP="00172A49">
      <w:pPr>
        <w:spacing w:after="0"/>
      </w:pPr>
    </w:p>
    <w:sectPr w:rsidR="009C0527" w:rsidRPr="009C0527" w:rsidSect="00172A49">
      <w:headerReference w:type="default" r:id="rId17"/>
      <w:footerReference w:type="default" r:id="rId18"/>
      <w:type w:val="oddPage"/>
      <w:pgSz w:w="11906" w:h="16838" w:code="9"/>
      <w:pgMar w:top="1588" w:right="1134" w:bottom="1276" w:left="1134" w:header="624" w:footer="87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EC4E7A" w14:textId="77777777" w:rsidR="00597F0A" w:rsidRDefault="00597F0A" w:rsidP="001749D7">
      <w:r>
        <w:separator/>
      </w:r>
    </w:p>
  </w:endnote>
  <w:endnote w:type="continuationSeparator" w:id="0">
    <w:p w14:paraId="3798E28A" w14:textId="77777777" w:rsidR="00597F0A" w:rsidRDefault="00597F0A" w:rsidP="001749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Cn BT">
    <w:altName w:val="Calibri"/>
    <w:panose1 w:val="020B0506020202030204"/>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Grigliatabella1"/>
      <w:tblW w:w="10915" w:type="dxa"/>
      <w:tblInd w:w="-572" w:type="dxa"/>
      <w:tblLook w:val="04A0" w:firstRow="1" w:lastRow="0" w:firstColumn="1" w:lastColumn="0" w:noHBand="0" w:noVBand="1"/>
    </w:tblPr>
    <w:tblGrid>
      <w:gridCol w:w="3277"/>
      <w:gridCol w:w="2677"/>
      <w:gridCol w:w="2273"/>
      <w:gridCol w:w="2688"/>
    </w:tblGrid>
    <w:tr w:rsidR="00877F70" w:rsidRPr="00877F70" w14:paraId="63E7BABC" w14:textId="77777777" w:rsidTr="000D7DB1">
      <w:trPr>
        <w:trHeight w:val="333"/>
      </w:trPr>
      <w:tc>
        <w:tcPr>
          <w:tcW w:w="3277" w:type="dxa"/>
        </w:tcPr>
        <w:p w14:paraId="254A02CF"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i/>
              <w:iCs/>
              <w:noProof/>
            </w:rPr>
          </w:pPr>
          <w:r w:rsidRPr="00877F70">
            <w:rPr>
              <w:rFonts w:ascii="Arial" w:eastAsia="Calibri" w:hAnsi="Arial" w:cs="Times New Roman"/>
              <w:i/>
              <w:iCs/>
              <w:noProof/>
              <w:sz w:val="20"/>
              <w:szCs w:val="20"/>
            </w:rPr>
            <w:t>Mandataria:</w:t>
          </w:r>
        </w:p>
      </w:tc>
      <w:tc>
        <w:tcPr>
          <w:tcW w:w="7638" w:type="dxa"/>
          <w:gridSpan w:val="3"/>
        </w:tcPr>
        <w:p w14:paraId="235A8D34"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i/>
              <w:iCs/>
              <w:noProof/>
              <w:sz w:val="20"/>
              <w:szCs w:val="20"/>
            </w:rPr>
          </w:pPr>
          <w:r w:rsidRPr="00877F70">
            <w:rPr>
              <w:rFonts w:ascii="Arial" w:eastAsia="Calibri" w:hAnsi="Arial" w:cs="Times New Roman"/>
              <w:i/>
              <w:iCs/>
              <w:noProof/>
              <w:sz w:val="20"/>
              <w:szCs w:val="20"/>
            </w:rPr>
            <w:t>Mandanti:</w:t>
          </w:r>
        </w:p>
      </w:tc>
    </w:tr>
    <w:tr w:rsidR="00877F70" w:rsidRPr="00877F70" w14:paraId="3F6781D1" w14:textId="77777777" w:rsidTr="000D7DB1">
      <w:trPr>
        <w:trHeight w:val="333"/>
      </w:trPr>
      <w:tc>
        <w:tcPr>
          <w:tcW w:w="3277" w:type="dxa"/>
          <w:vMerge w:val="restart"/>
        </w:tcPr>
        <w:p w14:paraId="4BF3BD00" w14:textId="77777777" w:rsidR="00877F70" w:rsidRPr="00877F70" w:rsidRDefault="00877F70" w:rsidP="00877F70">
          <w:pPr>
            <w:tabs>
              <w:tab w:val="center" w:pos="4819"/>
              <w:tab w:val="right" w:pos="9638"/>
            </w:tabs>
            <w:spacing w:after="0" w:line="240" w:lineRule="auto"/>
            <w:jc w:val="center"/>
            <w:rPr>
              <w:rFonts w:ascii="Arial" w:eastAsia="Calibri" w:hAnsi="Arial" w:cs="Times New Roman"/>
            </w:rPr>
          </w:pPr>
          <w:r w:rsidRPr="00877F70">
            <w:rPr>
              <w:rFonts w:ascii="Arial" w:eastAsia="Calibri" w:hAnsi="Arial" w:cs="Times New Roman"/>
              <w:noProof/>
            </w:rPr>
            <w:drawing>
              <wp:anchor distT="0" distB="0" distL="114300" distR="114300" simplePos="0" relativeHeight="251662336" behindDoc="1" locked="0" layoutInCell="1" allowOverlap="1" wp14:anchorId="028933DE" wp14:editId="725BE1BA">
                <wp:simplePos x="0" y="0"/>
                <wp:positionH relativeFrom="column">
                  <wp:posOffset>24599</wp:posOffset>
                </wp:positionH>
                <wp:positionV relativeFrom="paragraph">
                  <wp:posOffset>2209</wp:posOffset>
                </wp:positionV>
                <wp:extent cx="1895475" cy="632822"/>
                <wp:effectExtent l="0" t="0" r="0" b="0"/>
                <wp:wrapNone/>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1. 3TI logo.jpg"/>
                        <pic:cNvPicPr/>
                      </pic:nvPicPr>
                      <pic:blipFill rotWithShape="1">
                        <a:blip r:embed="rId1">
                          <a:extLst>
                            <a:ext uri="{28A0092B-C50C-407E-A947-70E740481C1C}">
                              <a14:useLocalDpi xmlns:a14="http://schemas.microsoft.com/office/drawing/2010/main" val="0"/>
                            </a:ext>
                          </a:extLst>
                        </a:blip>
                        <a:srcRect t="4345" b="3670"/>
                        <a:stretch/>
                      </pic:blipFill>
                      <pic:spPr bwMode="auto">
                        <a:xfrm>
                          <a:off x="0" y="0"/>
                          <a:ext cx="1895475" cy="632822"/>
                        </a:xfrm>
                        <a:prstGeom prst="rect">
                          <a:avLst/>
                        </a:prstGeom>
                        <a:ln>
                          <a:noFill/>
                        </a:ln>
                        <a:extLst>
                          <a:ext uri="{53640926-AAD7-44D8-BBD7-CCE9431645EC}">
                            <a14:shadowObscured xmlns:a14="http://schemas.microsoft.com/office/drawing/2010/main"/>
                          </a:ext>
                        </a:extLst>
                      </pic:spPr>
                    </pic:pic>
                  </a:graphicData>
                </a:graphic>
              </wp:anchor>
            </w:drawing>
          </w:r>
        </w:p>
      </w:tc>
      <w:tc>
        <w:tcPr>
          <w:tcW w:w="2677" w:type="dxa"/>
          <w:vMerge w:val="restart"/>
        </w:tcPr>
        <w:p w14:paraId="60A688C2"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rPr>
          </w:pPr>
          <w:r w:rsidRPr="00877F70">
            <w:rPr>
              <w:rFonts w:ascii="Arial" w:eastAsia="Calibri" w:hAnsi="Arial" w:cs="Times New Roman"/>
              <w:noProof/>
            </w:rPr>
            <w:drawing>
              <wp:anchor distT="0" distB="0" distL="114300" distR="114300" simplePos="0" relativeHeight="251660288" behindDoc="1" locked="0" layoutInCell="1" allowOverlap="1" wp14:anchorId="24BAEBDE" wp14:editId="6E35B05E">
                <wp:simplePos x="0" y="0"/>
                <wp:positionH relativeFrom="column">
                  <wp:posOffset>3092</wp:posOffset>
                </wp:positionH>
                <wp:positionV relativeFrom="paragraph">
                  <wp:posOffset>2209</wp:posOffset>
                </wp:positionV>
                <wp:extent cx="1500577" cy="540000"/>
                <wp:effectExtent l="0" t="0" r="4445" b="0"/>
                <wp:wrapNone/>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3. DSD.png"/>
                        <pic:cNvPicPr/>
                      </pic:nvPicPr>
                      <pic:blipFill>
                        <a:blip r:embed="rId2">
                          <a:extLst>
                            <a:ext uri="{28A0092B-C50C-407E-A947-70E740481C1C}">
                              <a14:useLocalDpi xmlns:a14="http://schemas.microsoft.com/office/drawing/2010/main" val="0"/>
                            </a:ext>
                          </a:extLst>
                        </a:blip>
                        <a:stretch>
                          <a:fillRect/>
                        </a:stretch>
                      </pic:blipFill>
                      <pic:spPr>
                        <a:xfrm>
                          <a:off x="0" y="0"/>
                          <a:ext cx="1500577" cy="540000"/>
                        </a:xfrm>
                        <a:prstGeom prst="rect">
                          <a:avLst/>
                        </a:prstGeom>
                      </pic:spPr>
                    </pic:pic>
                  </a:graphicData>
                </a:graphic>
              </wp:anchor>
            </w:drawing>
          </w:r>
        </w:p>
      </w:tc>
      <w:tc>
        <w:tcPr>
          <w:tcW w:w="2273" w:type="dxa"/>
          <w:vMerge w:val="restart"/>
        </w:tcPr>
        <w:p w14:paraId="6FD9598F" w14:textId="77777777" w:rsidR="00877F70" w:rsidRPr="00877F70" w:rsidRDefault="00877F70" w:rsidP="00877F70">
          <w:pPr>
            <w:tabs>
              <w:tab w:val="center" w:pos="4819"/>
              <w:tab w:val="right" w:pos="9638"/>
            </w:tabs>
            <w:spacing w:after="0" w:line="240" w:lineRule="auto"/>
            <w:jc w:val="center"/>
            <w:rPr>
              <w:rFonts w:ascii="Arial" w:eastAsia="Calibri" w:hAnsi="Arial" w:cs="Times New Roman"/>
            </w:rPr>
          </w:pPr>
          <w:r w:rsidRPr="00877F70">
            <w:rPr>
              <w:rFonts w:ascii="Arial" w:eastAsia="Calibri" w:hAnsi="Arial" w:cs="Times New Roman"/>
              <w:noProof/>
            </w:rPr>
            <w:drawing>
              <wp:anchor distT="0" distB="0" distL="114300" distR="114300" simplePos="0" relativeHeight="251661312" behindDoc="1" locked="0" layoutInCell="1" allowOverlap="1" wp14:anchorId="7C5FAF8E" wp14:editId="6379617E">
                <wp:simplePos x="0" y="0"/>
                <wp:positionH relativeFrom="column">
                  <wp:posOffset>20679</wp:posOffset>
                </wp:positionH>
                <wp:positionV relativeFrom="paragraph">
                  <wp:posOffset>2209</wp:posOffset>
                </wp:positionV>
                <wp:extent cx="1265625" cy="540000"/>
                <wp:effectExtent l="0" t="0" r="0" b="0"/>
                <wp:wrapNone/>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2. Enar.png"/>
                        <pic:cNvPicPr/>
                      </pic:nvPicPr>
                      <pic:blipFill rotWithShape="1">
                        <a:blip r:embed="rId3">
                          <a:extLst>
                            <a:ext uri="{28A0092B-C50C-407E-A947-70E740481C1C}">
                              <a14:useLocalDpi xmlns:a14="http://schemas.microsoft.com/office/drawing/2010/main" val="0"/>
                            </a:ext>
                          </a:extLst>
                        </a:blip>
                        <a:srcRect t="29778" b="27555"/>
                        <a:stretch/>
                      </pic:blipFill>
                      <pic:spPr bwMode="auto">
                        <a:xfrm>
                          <a:off x="0" y="0"/>
                          <a:ext cx="1265625" cy="540000"/>
                        </a:xfrm>
                        <a:prstGeom prst="rect">
                          <a:avLst/>
                        </a:prstGeom>
                        <a:ln>
                          <a:noFill/>
                        </a:ln>
                        <a:extLst>
                          <a:ext uri="{53640926-AAD7-44D8-BBD7-CCE9431645EC}">
                            <a14:shadowObscured xmlns:a14="http://schemas.microsoft.com/office/drawing/2010/main"/>
                          </a:ext>
                        </a:extLst>
                      </pic:spPr>
                    </pic:pic>
                  </a:graphicData>
                </a:graphic>
              </wp:anchor>
            </w:drawing>
          </w:r>
        </w:p>
      </w:tc>
      <w:tc>
        <w:tcPr>
          <w:tcW w:w="2688" w:type="dxa"/>
        </w:tcPr>
        <w:p w14:paraId="004DB00D"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b/>
              <w:i/>
              <w:color w:val="767171"/>
              <w:sz w:val="18"/>
              <w:szCs w:val="16"/>
            </w:rPr>
          </w:pPr>
          <w:r w:rsidRPr="00877F70">
            <w:rPr>
              <w:rFonts w:ascii="Arial" w:eastAsia="Calibri" w:hAnsi="Arial" w:cs="Times New Roman"/>
              <w:b/>
              <w:i/>
              <w:color w:val="767171"/>
              <w:sz w:val="18"/>
              <w:szCs w:val="16"/>
            </w:rPr>
            <w:t xml:space="preserve">Dott. </w:t>
          </w:r>
          <w:proofErr w:type="spellStart"/>
          <w:r w:rsidRPr="00877F70">
            <w:rPr>
              <w:rFonts w:ascii="Arial" w:eastAsia="Calibri" w:hAnsi="Arial" w:cs="Times New Roman"/>
              <w:b/>
              <w:i/>
              <w:color w:val="767171"/>
              <w:sz w:val="18"/>
              <w:szCs w:val="16"/>
            </w:rPr>
            <w:t>Geol</w:t>
          </w:r>
          <w:proofErr w:type="spellEnd"/>
          <w:r w:rsidRPr="00877F70">
            <w:rPr>
              <w:rFonts w:ascii="Arial" w:eastAsia="Calibri" w:hAnsi="Arial" w:cs="Times New Roman"/>
              <w:b/>
              <w:i/>
              <w:color w:val="767171"/>
              <w:sz w:val="18"/>
              <w:szCs w:val="16"/>
            </w:rPr>
            <w:t>. Giovanni Mancini</w:t>
          </w:r>
        </w:p>
      </w:tc>
    </w:tr>
    <w:tr w:rsidR="00877F70" w:rsidRPr="00877F70" w14:paraId="3A8932AF" w14:textId="77777777" w:rsidTr="000D7DB1">
      <w:trPr>
        <w:trHeight w:val="333"/>
      </w:trPr>
      <w:tc>
        <w:tcPr>
          <w:tcW w:w="3277" w:type="dxa"/>
          <w:vMerge/>
        </w:tcPr>
        <w:p w14:paraId="00EC1762"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rPr>
          </w:pPr>
        </w:p>
      </w:tc>
      <w:tc>
        <w:tcPr>
          <w:tcW w:w="2677" w:type="dxa"/>
          <w:vMerge/>
        </w:tcPr>
        <w:p w14:paraId="7C49AE0A"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rPr>
          </w:pPr>
        </w:p>
      </w:tc>
      <w:tc>
        <w:tcPr>
          <w:tcW w:w="2273" w:type="dxa"/>
          <w:vMerge/>
        </w:tcPr>
        <w:p w14:paraId="31A6B29E"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rPr>
          </w:pPr>
        </w:p>
      </w:tc>
      <w:tc>
        <w:tcPr>
          <w:tcW w:w="2688" w:type="dxa"/>
        </w:tcPr>
        <w:p w14:paraId="631F1583"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b/>
              <w:i/>
              <w:color w:val="767171"/>
              <w:sz w:val="18"/>
              <w:szCs w:val="16"/>
            </w:rPr>
          </w:pPr>
          <w:r w:rsidRPr="00877F70">
            <w:rPr>
              <w:rFonts w:ascii="Arial" w:eastAsia="Calibri" w:hAnsi="Arial" w:cs="Times New Roman"/>
              <w:b/>
              <w:i/>
              <w:color w:val="767171"/>
              <w:sz w:val="18"/>
              <w:szCs w:val="16"/>
            </w:rPr>
            <w:t xml:space="preserve">Dott. </w:t>
          </w:r>
          <w:proofErr w:type="spellStart"/>
          <w:r w:rsidRPr="00877F70">
            <w:rPr>
              <w:rFonts w:ascii="Arial" w:eastAsia="Calibri" w:hAnsi="Arial" w:cs="Times New Roman"/>
              <w:b/>
              <w:i/>
              <w:color w:val="767171"/>
              <w:sz w:val="18"/>
              <w:szCs w:val="16"/>
            </w:rPr>
            <w:t>Archeol</w:t>
          </w:r>
          <w:proofErr w:type="spellEnd"/>
          <w:r w:rsidRPr="00877F70">
            <w:rPr>
              <w:rFonts w:ascii="Arial" w:eastAsia="Calibri" w:hAnsi="Arial" w:cs="Times New Roman"/>
              <w:b/>
              <w:i/>
              <w:color w:val="767171"/>
              <w:sz w:val="18"/>
              <w:szCs w:val="16"/>
            </w:rPr>
            <w:t>. Luca Fornari</w:t>
          </w:r>
        </w:p>
      </w:tc>
    </w:tr>
    <w:tr w:rsidR="00877F70" w:rsidRPr="00877F70" w14:paraId="7E93AE0D" w14:textId="77777777" w:rsidTr="000D7DB1">
      <w:trPr>
        <w:trHeight w:val="334"/>
      </w:trPr>
      <w:tc>
        <w:tcPr>
          <w:tcW w:w="3277" w:type="dxa"/>
          <w:vMerge/>
        </w:tcPr>
        <w:p w14:paraId="3C6A3339"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rPr>
          </w:pPr>
        </w:p>
      </w:tc>
      <w:tc>
        <w:tcPr>
          <w:tcW w:w="2677" w:type="dxa"/>
          <w:vMerge/>
        </w:tcPr>
        <w:p w14:paraId="513BEEC4"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rPr>
          </w:pPr>
        </w:p>
      </w:tc>
      <w:tc>
        <w:tcPr>
          <w:tcW w:w="2273" w:type="dxa"/>
          <w:vMerge/>
        </w:tcPr>
        <w:p w14:paraId="0343C5F9"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rPr>
          </w:pPr>
        </w:p>
      </w:tc>
      <w:tc>
        <w:tcPr>
          <w:tcW w:w="2688" w:type="dxa"/>
        </w:tcPr>
        <w:p w14:paraId="5A0EA318" w14:textId="77777777" w:rsidR="00877F70" w:rsidRPr="00877F70" w:rsidRDefault="00877F70" w:rsidP="00877F70">
          <w:pPr>
            <w:tabs>
              <w:tab w:val="center" w:pos="4819"/>
              <w:tab w:val="right" w:pos="9638"/>
            </w:tabs>
            <w:spacing w:after="0" w:line="240" w:lineRule="auto"/>
            <w:jc w:val="left"/>
            <w:rPr>
              <w:rFonts w:ascii="Arial" w:eastAsia="Calibri" w:hAnsi="Arial" w:cs="Times New Roman"/>
              <w:b/>
              <w:i/>
              <w:color w:val="767171"/>
              <w:sz w:val="18"/>
              <w:szCs w:val="16"/>
            </w:rPr>
          </w:pPr>
          <w:r w:rsidRPr="00877F70">
            <w:rPr>
              <w:rFonts w:ascii="Arial" w:eastAsia="Calibri" w:hAnsi="Arial" w:cs="Times New Roman"/>
              <w:b/>
              <w:i/>
              <w:color w:val="767171"/>
              <w:sz w:val="18"/>
              <w:szCs w:val="16"/>
            </w:rPr>
            <w:t xml:space="preserve">Dott. </w:t>
          </w:r>
          <w:proofErr w:type="spellStart"/>
          <w:r w:rsidRPr="00877F70">
            <w:rPr>
              <w:rFonts w:ascii="Arial" w:eastAsia="Calibri" w:hAnsi="Arial" w:cs="Times New Roman"/>
              <w:b/>
              <w:i/>
              <w:color w:val="767171"/>
              <w:sz w:val="18"/>
              <w:szCs w:val="16"/>
            </w:rPr>
            <w:t>Agr</w:t>
          </w:r>
          <w:proofErr w:type="spellEnd"/>
          <w:r w:rsidRPr="00877F70">
            <w:rPr>
              <w:rFonts w:ascii="Arial" w:eastAsia="Calibri" w:hAnsi="Arial" w:cs="Times New Roman"/>
              <w:b/>
              <w:i/>
              <w:color w:val="767171"/>
              <w:sz w:val="18"/>
              <w:szCs w:val="16"/>
            </w:rPr>
            <w:t>. Emiliano Pompei</w:t>
          </w:r>
        </w:p>
      </w:tc>
    </w:tr>
  </w:tbl>
  <w:p w14:paraId="29F7B2F7" w14:textId="47D72F9A" w:rsidR="00AA3C2F" w:rsidRPr="00877F70" w:rsidRDefault="00AA3C2F" w:rsidP="00877F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BDC83D" w14:textId="77777777" w:rsidR="00597F0A" w:rsidRDefault="00597F0A" w:rsidP="001749D7">
      <w:r>
        <w:separator/>
      </w:r>
    </w:p>
  </w:footnote>
  <w:footnote w:type="continuationSeparator" w:id="0">
    <w:p w14:paraId="35C98455" w14:textId="77777777" w:rsidR="00597F0A" w:rsidRDefault="00597F0A" w:rsidP="001749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6"/>
      <w:gridCol w:w="1140"/>
      <w:gridCol w:w="1122"/>
    </w:tblGrid>
    <w:tr w:rsidR="00877F70" w:rsidRPr="004569E5" w14:paraId="4703A8F3" w14:textId="77777777" w:rsidTr="000D7DB1">
      <w:tc>
        <w:tcPr>
          <w:tcW w:w="7366" w:type="dxa"/>
          <w:tcBorders>
            <w:top w:val="dotted" w:sz="4" w:space="0" w:color="948A54" w:themeColor="background2" w:themeShade="80"/>
            <w:left w:val="dotted" w:sz="4" w:space="0" w:color="948A54" w:themeColor="background2" w:themeShade="80"/>
            <w:right w:val="dotted" w:sz="4" w:space="0" w:color="948A54" w:themeColor="background2" w:themeShade="80"/>
          </w:tcBorders>
        </w:tcPr>
        <w:p w14:paraId="4FDA9F78" w14:textId="77777777" w:rsidR="00877F70" w:rsidRPr="004569E5" w:rsidRDefault="00877F70" w:rsidP="00877F70">
          <w:pPr>
            <w:pStyle w:val="Header"/>
            <w:rPr>
              <w:b/>
              <w:color w:val="4A442A" w:themeColor="background2" w:themeShade="40"/>
              <w:sz w:val="18"/>
            </w:rPr>
          </w:pPr>
          <w:r w:rsidRPr="004569E5">
            <w:rPr>
              <w:b/>
              <w:color w:val="4A442A" w:themeColor="background2" w:themeShade="40"/>
              <w:sz w:val="20"/>
            </w:rPr>
            <w:t xml:space="preserve">BRETELLA DI COLLEGAMENTO </w:t>
          </w:r>
          <w:proofErr w:type="gramStart"/>
          <w:r w:rsidRPr="004569E5">
            <w:rPr>
              <w:b/>
              <w:color w:val="4A442A" w:themeColor="background2" w:themeShade="40"/>
              <w:sz w:val="20"/>
            </w:rPr>
            <w:t>LUNGOTENNA  -</w:t>
          </w:r>
          <w:proofErr w:type="gramEnd"/>
          <w:r w:rsidRPr="004569E5">
            <w:rPr>
              <w:b/>
              <w:color w:val="4A442A" w:themeColor="background2" w:themeShade="40"/>
              <w:sz w:val="20"/>
            </w:rPr>
            <w:t xml:space="preserve"> PORTO S. ELPIDIO</w:t>
          </w:r>
        </w:p>
      </w:tc>
      <w:tc>
        <w:tcPr>
          <w:tcW w:w="2262" w:type="dxa"/>
          <w:gridSpan w:val="2"/>
          <w:vMerge w:val="restart"/>
          <w:tcBorders>
            <w:top w:val="dotted" w:sz="4" w:space="0" w:color="948A54" w:themeColor="background2" w:themeShade="80"/>
            <w:left w:val="dotted" w:sz="4" w:space="0" w:color="948A54" w:themeColor="background2" w:themeShade="80"/>
            <w:right w:val="dotted" w:sz="4" w:space="0" w:color="948A54" w:themeColor="background2" w:themeShade="80"/>
          </w:tcBorders>
        </w:tcPr>
        <w:p w14:paraId="1124ACBE" w14:textId="77777777" w:rsidR="00877F70" w:rsidRPr="004569E5" w:rsidRDefault="00877F70" w:rsidP="00877F70">
          <w:pPr>
            <w:pStyle w:val="Header"/>
            <w:rPr>
              <w:noProof/>
              <w:color w:val="4A442A" w:themeColor="background2" w:themeShade="40"/>
            </w:rPr>
          </w:pPr>
          <w:r w:rsidRPr="004569E5">
            <w:rPr>
              <w:noProof/>
              <w:color w:val="4A442A" w:themeColor="background2" w:themeShade="40"/>
            </w:rPr>
            <w:drawing>
              <wp:anchor distT="0" distB="0" distL="114300" distR="114300" simplePos="0" relativeHeight="251659264" behindDoc="0" locked="0" layoutInCell="1" allowOverlap="1" wp14:anchorId="18B9C64E" wp14:editId="29F96166">
                <wp:simplePos x="0" y="0"/>
                <wp:positionH relativeFrom="column">
                  <wp:posOffset>379095</wp:posOffset>
                </wp:positionH>
                <wp:positionV relativeFrom="paragraph">
                  <wp:posOffset>58420</wp:posOffset>
                </wp:positionV>
                <wp:extent cx="443230" cy="539750"/>
                <wp:effectExtent l="0" t="0" r="0" b="0"/>
                <wp:wrapThrough wrapText="bothSides">
                  <wp:wrapPolygon edited="0">
                    <wp:start x="0" y="0"/>
                    <wp:lineTo x="0" y="20584"/>
                    <wp:lineTo x="20424" y="20584"/>
                    <wp:lineTo x="20424" y="0"/>
                    <wp:lineTo x="0" y="0"/>
                  </wp:wrapPolygon>
                </wp:wrapThrough>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Regione marche.png"/>
                        <pic:cNvPicPr/>
                      </pic:nvPicPr>
                      <pic:blipFill rotWithShape="1">
                        <a:blip r:embed="rId1">
                          <a:extLst>
                            <a:ext uri="{28A0092B-C50C-407E-A947-70E740481C1C}">
                              <a14:useLocalDpi xmlns:a14="http://schemas.microsoft.com/office/drawing/2010/main" val="0"/>
                            </a:ext>
                          </a:extLst>
                        </a:blip>
                        <a:srcRect l="32372" t="28949" r="32455" b="6848"/>
                        <a:stretch/>
                      </pic:blipFill>
                      <pic:spPr bwMode="auto">
                        <a:xfrm>
                          <a:off x="0" y="0"/>
                          <a:ext cx="443230" cy="539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77F70" w:rsidRPr="004569E5" w14:paraId="0A2D6765" w14:textId="77777777" w:rsidTr="000D7DB1">
      <w:tc>
        <w:tcPr>
          <w:tcW w:w="7366" w:type="dxa"/>
          <w:tcBorders>
            <w:left w:val="dotted" w:sz="4" w:space="0" w:color="948A54" w:themeColor="background2" w:themeShade="80"/>
            <w:right w:val="dotted" w:sz="4" w:space="0" w:color="948A54" w:themeColor="background2" w:themeShade="80"/>
          </w:tcBorders>
        </w:tcPr>
        <w:p w14:paraId="72754765" w14:textId="77777777" w:rsidR="00877F70" w:rsidRPr="004569E5" w:rsidRDefault="00877F70" w:rsidP="00877F70">
          <w:pPr>
            <w:pStyle w:val="Header"/>
            <w:rPr>
              <w:color w:val="4A442A" w:themeColor="background2" w:themeShade="40"/>
              <w:sz w:val="18"/>
            </w:rPr>
          </w:pPr>
          <w:r w:rsidRPr="004569E5">
            <w:rPr>
              <w:color w:val="4A442A" w:themeColor="background2" w:themeShade="40"/>
              <w:sz w:val="18"/>
            </w:rPr>
            <w:t>Regione Marche – LOTTO 2</w:t>
          </w:r>
        </w:p>
      </w:tc>
      <w:tc>
        <w:tcPr>
          <w:tcW w:w="2262" w:type="dxa"/>
          <w:gridSpan w:val="2"/>
          <w:vMerge/>
          <w:tcBorders>
            <w:left w:val="dotted" w:sz="4" w:space="0" w:color="948A54" w:themeColor="background2" w:themeShade="80"/>
            <w:right w:val="dotted" w:sz="4" w:space="0" w:color="948A54" w:themeColor="background2" w:themeShade="80"/>
          </w:tcBorders>
        </w:tcPr>
        <w:p w14:paraId="1840D4B8" w14:textId="77777777" w:rsidR="00877F70" w:rsidRPr="004569E5" w:rsidRDefault="00877F70" w:rsidP="00877F70">
          <w:pPr>
            <w:pStyle w:val="Header"/>
            <w:rPr>
              <w:color w:val="4A442A" w:themeColor="background2" w:themeShade="40"/>
            </w:rPr>
          </w:pPr>
        </w:p>
      </w:tc>
    </w:tr>
    <w:tr w:rsidR="00877F70" w:rsidRPr="004569E5" w14:paraId="045F4DE1" w14:textId="77777777" w:rsidTr="000D7DB1">
      <w:trPr>
        <w:trHeight w:val="256"/>
      </w:trPr>
      <w:tc>
        <w:tcPr>
          <w:tcW w:w="7366" w:type="dxa"/>
          <w:tcBorders>
            <w:left w:val="dotted" w:sz="4" w:space="0" w:color="948A54" w:themeColor="background2" w:themeShade="80"/>
            <w:bottom w:val="dotted" w:sz="4" w:space="0" w:color="948A54" w:themeColor="background2" w:themeShade="80"/>
            <w:right w:val="dotted" w:sz="4" w:space="0" w:color="948A54" w:themeColor="background2" w:themeShade="80"/>
          </w:tcBorders>
        </w:tcPr>
        <w:p w14:paraId="0AE44B49" w14:textId="77777777" w:rsidR="00877F70" w:rsidRPr="004569E5" w:rsidRDefault="00877F70" w:rsidP="00877F70">
          <w:pPr>
            <w:pStyle w:val="Header"/>
            <w:rPr>
              <w:color w:val="4A442A" w:themeColor="background2" w:themeShade="40"/>
              <w:sz w:val="18"/>
            </w:rPr>
          </w:pPr>
          <w:r w:rsidRPr="004569E5">
            <w:rPr>
              <w:color w:val="4A442A" w:themeColor="background2" w:themeShade="40"/>
              <w:sz w:val="18"/>
            </w:rPr>
            <w:t>San Marco – Svincolo autostrada A 14 Porto S. Elpidio (FM)</w:t>
          </w:r>
        </w:p>
      </w:tc>
      <w:tc>
        <w:tcPr>
          <w:tcW w:w="2262" w:type="dxa"/>
          <w:gridSpan w:val="2"/>
          <w:vMerge/>
          <w:tcBorders>
            <w:left w:val="dotted" w:sz="4" w:space="0" w:color="948A54" w:themeColor="background2" w:themeShade="80"/>
            <w:right w:val="dotted" w:sz="4" w:space="0" w:color="948A54" w:themeColor="background2" w:themeShade="80"/>
          </w:tcBorders>
        </w:tcPr>
        <w:p w14:paraId="7328EED5" w14:textId="77777777" w:rsidR="00877F70" w:rsidRPr="004569E5" w:rsidRDefault="00877F70" w:rsidP="00877F70">
          <w:pPr>
            <w:pStyle w:val="Header"/>
            <w:rPr>
              <w:color w:val="4A442A" w:themeColor="background2" w:themeShade="40"/>
            </w:rPr>
          </w:pPr>
        </w:p>
      </w:tc>
    </w:tr>
    <w:tr w:rsidR="00877F70" w:rsidRPr="004569E5" w14:paraId="76AF262E" w14:textId="77777777" w:rsidTr="000D7DB1">
      <w:trPr>
        <w:trHeight w:val="278"/>
      </w:trPr>
      <w:tc>
        <w:tcPr>
          <w:tcW w:w="7366" w:type="dxa"/>
          <w:tcBorders>
            <w:top w:val="dotted" w:sz="4" w:space="0" w:color="948A54" w:themeColor="background2" w:themeShade="80"/>
            <w:left w:val="dotted" w:sz="4" w:space="0" w:color="948A54" w:themeColor="background2" w:themeShade="80"/>
            <w:bottom w:val="dotted" w:sz="4" w:space="0" w:color="948A54" w:themeColor="background2" w:themeShade="80"/>
            <w:right w:val="dotted" w:sz="4" w:space="0" w:color="948A54" w:themeColor="background2" w:themeShade="80"/>
          </w:tcBorders>
        </w:tcPr>
        <w:p w14:paraId="573B64D0" w14:textId="269B4216" w:rsidR="00877F70" w:rsidRPr="004569E5" w:rsidRDefault="00877F70" w:rsidP="00877F70">
          <w:pPr>
            <w:pStyle w:val="Header"/>
            <w:rPr>
              <w:color w:val="4A442A" w:themeColor="background2" w:themeShade="40"/>
              <w:sz w:val="18"/>
            </w:rPr>
          </w:pPr>
          <w:r w:rsidRPr="004569E5">
            <w:rPr>
              <w:color w:val="4A442A" w:themeColor="background2" w:themeShade="40"/>
              <w:sz w:val="18"/>
            </w:rPr>
            <w:t xml:space="preserve">Relazione </w:t>
          </w:r>
          <w:r w:rsidR="00C84C9C">
            <w:rPr>
              <w:color w:val="4A442A" w:themeColor="background2" w:themeShade="40"/>
              <w:sz w:val="18"/>
            </w:rPr>
            <w:t>Idrologica ed idraulica</w:t>
          </w:r>
        </w:p>
      </w:tc>
      <w:tc>
        <w:tcPr>
          <w:tcW w:w="2262" w:type="dxa"/>
          <w:gridSpan w:val="2"/>
          <w:vMerge/>
          <w:tcBorders>
            <w:left w:val="dotted" w:sz="4" w:space="0" w:color="948A54" w:themeColor="background2" w:themeShade="80"/>
            <w:bottom w:val="dotted" w:sz="4" w:space="0" w:color="948A54" w:themeColor="background2" w:themeShade="80"/>
            <w:right w:val="dotted" w:sz="4" w:space="0" w:color="948A54" w:themeColor="background2" w:themeShade="80"/>
          </w:tcBorders>
        </w:tcPr>
        <w:p w14:paraId="1C97629F" w14:textId="77777777" w:rsidR="00877F70" w:rsidRPr="004569E5" w:rsidRDefault="00877F70" w:rsidP="00877F70">
          <w:pPr>
            <w:pStyle w:val="Header"/>
            <w:rPr>
              <w:color w:val="4A442A" w:themeColor="background2" w:themeShade="40"/>
            </w:rPr>
          </w:pPr>
        </w:p>
      </w:tc>
    </w:tr>
    <w:tr w:rsidR="00877F70" w:rsidRPr="004569E5" w14:paraId="2F4582DB" w14:textId="77777777" w:rsidTr="000D7DB1">
      <w:trPr>
        <w:trHeight w:val="80"/>
      </w:trPr>
      <w:tc>
        <w:tcPr>
          <w:tcW w:w="7366" w:type="dxa"/>
          <w:tcBorders>
            <w:top w:val="dotted" w:sz="4" w:space="0" w:color="948A54" w:themeColor="background2" w:themeShade="80"/>
            <w:left w:val="dotted" w:sz="4" w:space="0" w:color="948A54" w:themeColor="background2" w:themeShade="80"/>
            <w:bottom w:val="dotted" w:sz="4" w:space="0" w:color="948A54" w:themeColor="background2" w:themeShade="80"/>
            <w:right w:val="dotted" w:sz="4" w:space="0" w:color="948A54" w:themeColor="background2" w:themeShade="80"/>
          </w:tcBorders>
        </w:tcPr>
        <w:p w14:paraId="483FFFDA" w14:textId="3DCE98BF" w:rsidR="009A1B53" w:rsidRPr="009A1B53" w:rsidRDefault="00877F70" w:rsidP="009A1B53">
          <w:pPr>
            <w:pStyle w:val="Header"/>
            <w:rPr>
              <w:color w:val="4A442A" w:themeColor="background2" w:themeShade="40"/>
              <w:sz w:val="18"/>
            </w:rPr>
          </w:pPr>
          <w:r w:rsidRPr="004569E5">
            <w:rPr>
              <w:color w:val="4A442A" w:themeColor="background2" w:themeShade="40"/>
              <w:sz w:val="18"/>
            </w:rPr>
            <w:t xml:space="preserve">Codice documento: </w:t>
          </w:r>
          <w:r w:rsidR="009A1B53" w:rsidRPr="009A1B53">
            <w:rPr>
              <w:color w:val="4A442A" w:themeColor="background2" w:themeShade="40"/>
              <w:sz w:val="18"/>
            </w:rPr>
            <w:t>15347-PFTE-01-IDR-RPT-001</w:t>
          </w:r>
        </w:p>
        <w:p w14:paraId="3858AA4C" w14:textId="7003E210" w:rsidR="00877F70" w:rsidRPr="004569E5" w:rsidRDefault="00877F70" w:rsidP="00877F70">
          <w:pPr>
            <w:pStyle w:val="Header"/>
            <w:rPr>
              <w:color w:val="4A442A" w:themeColor="background2" w:themeShade="40"/>
              <w:sz w:val="18"/>
            </w:rPr>
          </w:pPr>
        </w:p>
      </w:tc>
      <w:tc>
        <w:tcPr>
          <w:tcW w:w="1140" w:type="dxa"/>
          <w:tcBorders>
            <w:top w:val="dotted" w:sz="4" w:space="0" w:color="948A54" w:themeColor="background2" w:themeShade="80"/>
            <w:left w:val="dotted" w:sz="4" w:space="0" w:color="948A54" w:themeColor="background2" w:themeShade="80"/>
            <w:bottom w:val="dotted" w:sz="4" w:space="0" w:color="948A54" w:themeColor="background2" w:themeShade="80"/>
            <w:right w:val="dotted" w:sz="4" w:space="0" w:color="948A54" w:themeColor="background2" w:themeShade="80"/>
          </w:tcBorders>
        </w:tcPr>
        <w:p w14:paraId="3C89FB8D" w14:textId="14B264F4" w:rsidR="00877F70" w:rsidRPr="004569E5" w:rsidRDefault="00877F70" w:rsidP="00877F70">
          <w:pPr>
            <w:pStyle w:val="Header"/>
            <w:rPr>
              <w:color w:val="4A442A" w:themeColor="background2" w:themeShade="40"/>
              <w:sz w:val="18"/>
            </w:rPr>
          </w:pPr>
          <w:proofErr w:type="spellStart"/>
          <w:r w:rsidRPr="004569E5">
            <w:rPr>
              <w:color w:val="4A442A" w:themeColor="background2" w:themeShade="40"/>
              <w:sz w:val="18"/>
            </w:rPr>
            <w:t>rev</w:t>
          </w:r>
          <w:proofErr w:type="spellEnd"/>
          <w:r w:rsidRPr="004569E5">
            <w:rPr>
              <w:color w:val="4A442A" w:themeColor="background2" w:themeShade="40"/>
              <w:sz w:val="18"/>
            </w:rPr>
            <w:t xml:space="preserve">: </w:t>
          </w:r>
          <w:r w:rsidRPr="004569E5">
            <w:rPr>
              <w:b/>
              <w:color w:val="4A442A" w:themeColor="background2" w:themeShade="40"/>
              <w:sz w:val="18"/>
            </w:rPr>
            <w:t>0</w:t>
          </w:r>
          <w:r w:rsidR="009A1B53">
            <w:rPr>
              <w:b/>
              <w:color w:val="4A442A" w:themeColor="background2" w:themeShade="40"/>
              <w:sz w:val="18"/>
            </w:rPr>
            <w:t>1</w:t>
          </w:r>
        </w:p>
      </w:tc>
      <w:tc>
        <w:tcPr>
          <w:tcW w:w="1122" w:type="dxa"/>
          <w:tcBorders>
            <w:top w:val="dotted" w:sz="4" w:space="0" w:color="948A54" w:themeColor="background2" w:themeShade="80"/>
            <w:left w:val="dotted" w:sz="4" w:space="0" w:color="948A54" w:themeColor="background2" w:themeShade="80"/>
            <w:bottom w:val="dotted" w:sz="4" w:space="0" w:color="948A54" w:themeColor="background2" w:themeShade="80"/>
            <w:right w:val="dotted" w:sz="4" w:space="0" w:color="948A54" w:themeColor="background2" w:themeShade="80"/>
          </w:tcBorders>
        </w:tcPr>
        <w:p w14:paraId="1484372D" w14:textId="77777777" w:rsidR="00877F70" w:rsidRPr="00B5741E" w:rsidRDefault="00877F70" w:rsidP="00877F70">
          <w:pPr>
            <w:pStyle w:val="Header"/>
            <w:rPr>
              <w:color w:val="4A442A" w:themeColor="background2" w:themeShade="40"/>
              <w:sz w:val="18"/>
            </w:rPr>
          </w:pPr>
          <w:r w:rsidRPr="00B5741E">
            <w:rPr>
              <w:color w:val="4A442A" w:themeColor="background2" w:themeShade="40"/>
              <w:sz w:val="18"/>
            </w:rPr>
            <w:t xml:space="preserve">pag. </w:t>
          </w:r>
          <w:r w:rsidRPr="00B5741E">
            <w:rPr>
              <w:color w:val="4A442A" w:themeColor="background2" w:themeShade="40"/>
              <w:sz w:val="18"/>
            </w:rPr>
            <w:fldChar w:fldCharType="begin"/>
          </w:r>
          <w:r w:rsidRPr="00B5741E">
            <w:rPr>
              <w:color w:val="4A442A" w:themeColor="background2" w:themeShade="40"/>
              <w:sz w:val="18"/>
            </w:rPr>
            <w:instrText>PAGE   \* MERGEFORMAT</w:instrText>
          </w:r>
          <w:r w:rsidRPr="00B5741E">
            <w:rPr>
              <w:color w:val="4A442A" w:themeColor="background2" w:themeShade="40"/>
              <w:sz w:val="18"/>
            </w:rPr>
            <w:fldChar w:fldCharType="separate"/>
          </w:r>
          <w:r w:rsidRPr="00B5741E">
            <w:rPr>
              <w:color w:val="4A442A" w:themeColor="background2" w:themeShade="40"/>
              <w:sz w:val="18"/>
            </w:rPr>
            <w:t>1</w:t>
          </w:r>
          <w:r w:rsidRPr="00B5741E">
            <w:rPr>
              <w:color w:val="4A442A" w:themeColor="background2" w:themeShade="40"/>
              <w:sz w:val="18"/>
            </w:rPr>
            <w:fldChar w:fldCharType="end"/>
          </w:r>
        </w:p>
      </w:tc>
    </w:tr>
  </w:tbl>
  <w:p w14:paraId="062BC322" w14:textId="77777777" w:rsidR="00877F70" w:rsidRPr="00877F70" w:rsidRDefault="00877F70" w:rsidP="00877F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DA9AD0FE"/>
    <w:lvl w:ilvl="0">
      <w:start w:val="1"/>
      <w:numFmt w:val="decimal"/>
      <w:lvlText w:val="%1."/>
      <w:lvlJc w:val="left"/>
      <w:pPr>
        <w:ind w:left="1134" w:hanging="113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34" w:hanging="113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134" w:hanging="113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134" w:hanging="1134"/>
      </w:pPr>
      <w:rPr>
        <w:rFonts w:ascii="Tahoma" w:hAnsi="Tahoma" w:cs="Times New Roman" w:hint="default"/>
        <w:b/>
        <w:bCs w:val="0"/>
        <w:i w:val="0"/>
        <w:iCs w:val="0"/>
        <w:caps w:val="0"/>
        <w:smallCaps w:val="0"/>
        <w:outline w:val="0"/>
        <w:shadow w:val="0"/>
        <w:emboss w:val="0"/>
        <w:imprint w:val="0"/>
        <w:vanish w:val="0"/>
        <w:spacing w:val="0"/>
        <w:kern w:val="0"/>
        <w:position w:val="0"/>
        <w:sz w:val="20"/>
        <w:szCs w:val="20"/>
        <w:u w:val="none"/>
        <w:vertAlign w:val="baseline"/>
      </w:rPr>
    </w:lvl>
    <w:lvl w:ilvl="4">
      <w:start w:val="1"/>
      <w:numFmt w:val="decimal"/>
      <w:lvlText w:val="%1.%2.%3.%4.%5."/>
      <w:lvlJc w:val="left"/>
      <w:pPr>
        <w:ind w:left="1134" w:hanging="1134"/>
      </w:pPr>
      <w:rPr>
        <w:rFonts w:ascii="Tahoma" w:hAnsi="Tahoma" w:cs="Times New Roman" w:hint="default"/>
        <w:b w:val="0"/>
        <w:i w:val="0"/>
        <w:sz w:val="16"/>
        <w:szCs w:val="16"/>
      </w:rPr>
    </w:lvl>
    <w:lvl w:ilvl="5">
      <w:start w:val="1"/>
      <w:numFmt w:val="decimal"/>
      <w:lvlText w:val="%1.%2.%3.%4.%5.%6."/>
      <w:lvlJc w:val="left"/>
      <w:pPr>
        <w:ind w:left="1134" w:hanging="1134"/>
      </w:pPr>
      <w:rPr>
        <w:rFonts w:ascii="Tahoma" w:hAnsi="Tahoma" w:cs="Times New Roman" w:hint="default"/>
        <w:b w:val="0"/>
        <w:i w:val="0"/>
        <w:sz w:val="16"/>
      </w:rPr>
    </w:lvl>
    <w:lvl w:ilvl="6">
      <w:start w:val="1"/>
      <w:numFmt w:val="decimal"/>
      <w:lvlText w:val="%7."/>
      <w:lvlJc w:val="left"/>
      <w:pPr>
        <w:ind w:left="2880" w:hanging="360"/>
      </w:pPr>
      <w:rPr>
        <w:rFonts w:cs="Times New Roman" w:hint="default"/>
      </w:rPr>
    </w:lvl>
    <w:lvl w:ilvl="7">
      <w:start w:val="1"/>
      <w:numFmt w:val="lowerLetter"/>
      <w:lvlText w:val="%8."/>
      <w:lvlJc w:val="left"/>
      <w:pPr>
        <w:ind w:left="3240" w:hanging="360"/>
      </w:pPr>
      <w:rPr>
        <w:rFonts w:cs="Times New Roman" w:hint="default"/>
      </w:rPr>
    </w:lvl>
    <w:lvl w:ilvl="8">
      <w:start w:val="1"/>
      <w:numFmt w:val="lowerRoman"/>
      <w:lvlText w:val="%9."/>
      <w:lvlJc w:val="left"/>
      <w:pPr>
        <w:ind w:left="3600" w:hanging="360"/>
      </w:pPr>
      <w:rPr>
        <w:rFonts w:cs="Times New Roman" w:hint="default"/>
      </w:rPr>
    </w:lvl>
  </w:abstractNum>
  <w:abstractNum w:abstractNumId="1" w15:restartNumberingAfterBreak="0">
    <w:nsid w:val="01F65FDD"/>
    <w:multiLevelType w:val="hybridMultilevel"/>
    <w:tmpl w:val="EE1C580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72E256C"/>
    <w:multiLevelType w:val="hybridMultilevel"/>
    <w:tmpl w:val="FFFFFFFF"/>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77B2D24"/>
    <w:multiLevelType w:val="hybridMultilevel"/>
    <w:tmpl w:val="3ABC9A9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793313D"/>
    <w:multiLevelType w:val="hybridMultilevel"/>
    <w:tmpl w:val="0FDA8576"/>
    <w:lvl w:ilvl="0" w:tplc="114E27D2">
      <w:numFmt w:val="bullet"/>
      <w:lvlText w:val="-"/>
      <w:lvlJc w:val="left"/>
      <w:pPr>
        <w:ind w:left="720" w:hanging="360"/>
      </w:pPr>
      <w:rPr>
        <w:rFonts w:ascii="Swis721 Cn BT" w:eastAsiaTheme="minorHAnsi" w:hAnsi="Swis721 Cn BT"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5E22F15"/>
    <w:multiLevelType w:val="hybridMultilevel"/>
    <w:tmpl w:val="4B206188"/>
    <w:lvl w:ilvl="0" w:tplc="63BA5BA6">
      <w:start w:val="3"/>
      <w:numFmt w:val="bullet"/>
      <w:lvlText w:val="-"/>
      <w:lvlJc w:val="left"/>
      <w:pPr>
        <w:ind w:left="720" w:hanging="360"/>
      </w:pPr>
      <w:rPr>
        <w:rFonts w:ascii="Swis721 Cn BT" w:eastAsiaTheme="minorHAnsi" w:hAnsi="Swis721 Cn B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4E29BD"/>
    <w:multiLevelType w:val="hybridMultilevel"/>
    <w:tmpl w:val="6A781916"/>
    <w:lvl w:ilvl="0" w:tplc="88B4DC1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E491838"/>
    <w:multiLevelType w:val="hybridMultilevel"/>
    <w:tmpl w:val="C2EC6B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0F76625"/>
    <w:multiLevelType w:val="hybridMultilevel"/>
    <w:tmpl w:val="BF8CE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874E47"/>
    <w:multiLevelType w:val="multilevel"/>
    <w:tmpl w:val="CDB06666"/>
    <w:lvl w:ilvl="0">
      <w:start w:val="1"/>
      <w:numFmt w:val="decimal"/>
      <w:pStyle w:val="Heading1"/>
      <w:lvlText w:val="%1"/>
      <w:lvlJc w:val="left"/>
      <w:pPr>
        <w:ind w:left="432" w:hanging="432"/>
      </w:pPr>
      <w:rPr>
        <w:rFonts w:hint="default"/>
        <w:sz w:val="32"/>
      </w:rPr>
    </w:lvl>
    <w:lvl w:ilvl="1">
      <w:start w:val="1"/>
      <w:numFmt w:val="decimal"/>
      <w:pStyle w:val="Heading2"/>
      <w:lvlText w:val="%1.%2"/>
      <w:lvlJc w:val="left"/>
      <w:pPr>
        <w:ind w:left="576" w:hanging="576"/>
      </w:pPr>
      <w:rPr>
        <w:rFonts w:ascii="Arial" w:hAnsi="Arial" w:cs="Arial" w:hint="default"/>
        <w:sz w:val="32"/>
        <w:szCs w:val="32"/>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3872389"/>
    <w:multiLevelType w:val="hybridMultilevel"/>
    <w:tmpl w:val="01D458F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5B84415"/>
    <w:multiLevelType w:val="hybridMultilevel"/>
    <w:tmpl w:val="3CE2F40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B57631C"/>
    <w:multiLevelType w:val="hybridMultilevel"/>
    <w:tmpl w:val="536477B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2D4F7B51"/>
    <w:multiLevelType w:val="hybridMultilevel"/>
    <w:tmpl w:val="B87A8F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4B53478"/>
    <w:multiLevelType w:val="hybridMultilevel"/>
    <w:tmpl w:val="DBDC128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3AFC0475"/>
    <w:multiLevelType w:val="hybridMultilevel"/>
    <w:tmpl w:val="6CD83B1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3B2F2F0A"/>
    <w:multiLevelType w:val="hybridMultilevel"/>
    <w:tmpl w:val="953499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46557D82"/>
    <w:multiLevelType w:val="hybridMultilevel"/>
    <w:tmpl w:val="E3B097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6BD0436"/>
    <w:multiLevelType w:val="hybridMultilevel"/>
    <w:tmpl w:val="66F06E7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481C2E8E"/>
    <w:multiLevelType w:val="hybridMultilevel"/>
    <w:tmpl w:val="AD2E624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59252957"/>
    <w:multiLevelType w:val="hybridMultilevel"/>
    <w:tmpl w:val="6E785BE0"/>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5BA17316"/>
    <w:multiLevelType w:val="hybridMultilevel"/>
    <w:tmpl w:val="ACB8B5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5C9A49DC"/>
    <w:multiLevelType w:val="hybridMultilevel"/>
    <w:tmpl w:val="C51A152E"/>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FD70F56"/>
    <w:multiLevelType w:val="hybridMultilevel"/>
    <w:tmpl w:val="131C5AE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0C64C3C"/>
    <w:multiLevelType w:val="hybridMultilevel"/>
    <w:tmpl w:val="9EBAD0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5D8555B"/>
    <w:multiLevelType w:val="hybridMultilevel"/>
    <w:tmpl w:val="B6F8C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0EF4E0A"/>
    <w:multiLevelType w:val="hybridMultilevel"/>
    <w:tmpl w:val="26665CBC"/>
    <w:lvl w:ilvl="0" w:tplc="0809000B">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7" w15:restartNumberingAfterBreak="0">
    <w:nsid w:val="778C761C"/>
    <w:multiLevelType w:val="hybridMultilevel"/>
    <w:tmpl w:val="66DC6D7A"/>
    <w:lvl w:ilvl="0" w:tplc="04100011">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78AC32DD"/>
    <w:multiLevelType w:val="hybridMultilevel"/>
    <w:tmpl w:val="5E403E5C"/>
    <w:lvl w:ilvl="0" w:tplc="0410000B">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7B5546DB"/>
    <w:multiLevelType w:val="hybridMultilevel"/>
    <w:tmpl w:val="4FA847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7C3310FB"/>
    <w:multiLevelType w:val="hybridMultilevel"/>
    <w:tmpl w:val="EAC064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9"/>
  </w:num>
  <w:num w:numId="2">
    <w:abstractNumId w:val="16"/>
  </w:num>
  <w:num w:numId="3">
    <w:abstractNumId w:val="1"/>
  </w:num>
  <w:num w:numId="4">
    <w:abstractNumId w:val="30"/>
  </w:num>
  <w:num w:numId="5">
    <w:abstractNumId w:val="13"/>
  </w:num>
  <w:num w:numId="6">
    <w:abstractNumId w:val="7"/>
  </w:num>
  <w:num w:numId="7">
    <w:abstractNumId w:val="24"/>
  </w:num>
  <w:num w:numId="8">
    <w:abstractNumId w:val="18"/>
  </w:num>
  <w:num w:numId="9">
    <w:abstractNumId w:val="12"/>
  </w:num>
  <w:num w:numId="10">
    <w:abstractNumId w:val="29"/>
  </w:num>
  <w:num w:numId="11">
    <w:abstractNumId w:val="22"/>
  </w:num>
  <w:num w:numId="12">
    <w:abstractNumId w:val="17"/>
  </w:num>
  <w:num w:numId="13">
    <w:abstractNumId w:val="21"/>
  </w:num>
  <w:num w:numId="14">
    <w:abstractNumId w:val="14"/>
  </w:num>
  <w:num w:numId="15">
    <w:abstractNumId w:val="3"/>
  </w:num>
  <w:num w:numId="16">
    <w:abstractNumId w:val="28"/>
  </w:num>
  <w:num w:numId="17">
    <w:abstractNumId w:val="20"/>
  </w:num>
  <w:num w:numId="18">
    <w:abstractNumId w:val="19"/>
  </w:num>
  <w:num w:numId="19">
    <w:abstractNumId w:val="23"/>
  </w:num>
  <w:num w:numId="20">
    <w:abstractNumId w:val="4"/>
  </w:num>
  <w:num w:numId="21">
    <w:abstractNumId w:val="11"/>
  </w:num>
  <w:num w:numId="22">
    <w:abstractNumId w:val="15"/>
  </w:num>
  <w:num w:numId="23">
    <w:abstractNumId w:val="25"/>
  </w:num>
  <w:num w:numId="24">
    <w:abstractNumId w:val="8"/>
  </w:num>
  <w:num w:numId="25">
    <w:abstractNumId w:val="5"/>
  </w:num>
  <w:num w:numId="26">
    <w:abstractNumId w:val="27"/>
  </w:num>
  <w:num w:numId="27">
    <w:abstractNumId w:val="26"/>
  </w:num>
  <w:num w:numId="28">
    <w:abstractNumId w:val="10"/>
  </w:num>
  <w:num w:numId="29">
    <w:abstractNumId w:val="2"/>
  </w:num>
  <w:num w:numId="30">
    <w:abstractNumId w:val="0"/>
  </w:num>
  <w:num w:numId="31">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08"/>
  <w:hyphenationZone w:val="283"/>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1FFB"/>
    <w:rsid w:val="00006B61"/>
    <w:rsid w:val="000129C5"/>
    <w:rsid w:val="0002018B"/>
    <w:rsid w:val="00020A04"/>
    <w:rsid w:val="0002209A"/>
    <w:rsid w:val="000230D3"/>
    <w:rsid w:val="00023A89"/>
    <w:rsid w:val="0002537A"/>
    <w:rsid w:val="000262AA"/>
    <w:rsid w:val="00035EC8"/>
    <w:rsid w:val="000365F2"/>
    <w:rsid w:val="0004548D"/>
    <w:rsid w:val="000505F1"/>
    <w:rsid w:val="00053B89"/>
    <w:rsid w:val="00057B2E"/>
    <w:rsid w:val="00064E43"/>
    <w:rsid w:val="00064F54"/>
    <w:rsid w:val="00067CA2"/>
    <w:rsid w:val="000706B6"/>
    <w:rsid w:val="00071F1C"/>
    <w:rsid w:val="000721BA"/>
    <w:rsid w:val="00080E8F"/>
    <w:rsid w:val="00081F47"/>
    <w:rsid w:val="00083A73"/>
    <w:rsid w:val="0008428D"/>
    <w:rsid w:val="0008524F"/>
    <w:rsid w:val="00093C15"/>
    <w:rsid w:val="000A2873"/>
    <w:rsid w:val="000A2C36"/>
    <w:rsid w:val="000A54DF"/>
    <w:rsid w:val="000A667A"/>
    <w:rsid w:val="000A70CD"/>
    <w:rsid w:val="000A7B5A"/>
    <w:rsid w:val="000B0E2B"/>
    <w:rsid w:val="000B2CB2"/>
    <w:rsid w:val="000B3266"/>
    <w:rsid w:val="000B5E51"/>
    <w:rsid w:val="000B7174"/>
    <w:rsid w:val="000C022D"/>
    <w:rsid w:val="000C1619"/>
    <w:rsid w:val="000C1B91"/>
    <w:rsid w:val="000C5620"/>
    <w:rsid w:val="000D1059"/>
    <w:rsid w:val="000D1194"/>
    <w:rsid w:val="000D21E9"/>
    <w:rsid w:val="000D43C8"/>
    <w:rsid w:val="000D5DDD"/>
    <w:rsid w:val="000E2BB0"/>
    <w:rsid w:val="000E45FA"/>
    <w:rsid w:val="000E5773"/>
    <w:rsid w:val="000E589D"/>
    <w:rsid w:val="000E5D34"/>
    <w:rsid w:val="000E6AC0"/>
    <w:rsid w:val="000F0D60"/>
    <w:rsid w:val="000F36C2"/>
    <w:rsid w:val="000F483F"/>
    <w:rsid w:val="000F5FA2"/>
    <w:rsid w:val="00101140"/>
    <w:rsid w:val="001046E2"/>
    <w:rsid w:val="00110008"/>
    <w:rsid w:val="001118E6"/>
    <w:rsid w:val="00120121"/>
    <w:rsid w:val="00121F8A"/>
    <w:rsid w:val="00123F3D"/>
    <w:rsid w:val="001251DA"/>
    <w:rsid w:val="00131A6C"/>
    <w:rsid w:val="00131B38"/>
    <w:rsid w:val="00141A33"/>
    <w:rsid w:val="00141EE7"/>
    <w:rsid w:val="00142D71"/>
    <w:rsid w:val="00146D2C"/>
    <w:rsid w:val="00150135"/>
    <w:rsid w:val="0015232B"/>
    <w:rsid w:val="00154D56"/>
    <w:rsid w:val="00155B6A"/>
    <w:rsid w:val="0016496D"/>
    <w:rsid w:val="0016580D"/>
    <w:rsid w:val="001705B5"/>
    <w:rsid w:val="0017294D"/>
    <w:rsid w:val="00172A49"/>
    <w:rsid w:val="001749D7"/>
    <w:rsid w:val="00174F99"/>
    <w:rsid w:val="001773FA"/>
    <w:rsid w:val="00177D59"/>
    <w:rsid w:val="00180EE5"/>
    <w:rsid w:val="0018184F"/>
    <w:rsid w:val="001835A8"/>
    <w:rsid w:val="001848CD"/>
    <w:rsid w:val="001853CC"/>
    <w:rsid w:val="00185492"/>
    <w:rsid w:val="00187CBA"/>
    <w:rsid w:val="0019162B"/>
    <w:rsid w:val="001920B2"/>
    <w:rsid w:val="001930A9"/>
    <w:rsid w:val="0019435B"/>
    <w:rsid w:val="001A6004"/>
    <w:rsid w:val="001B3B2F"/>
    <w:rsid w:val="001B4282"/>
    <w:rsid w:val="001B5C0F"/>
    <w:rsid w:val="001C055E"/>
    <w:rsid w:val="001C0A67"/>
    <w:rsid w:val="001C17F7"/>
    <w:rsid w:val="001C4F0B"/>
    <w:rsid w:val="001D0C40"/>
    <w:rsid w:val="001D3DEF"/>
    <w:rsid w:val="001D53F2"/>
    <w:rsid w:val="001D6625"/>
    <w:rsid w:val="001E15E8"/>
    <w:rsid w:val="001E2181"/>
    <w:rsid w:val="001E2660"/>
    <w:rsid w:val="001E5A0C"/>
    <w:rsid w:val="001F34D6"/>
    <w:rsid w:val="001F4E89"/>
    <w:rsid w:val="001F56DE"/>
    <w:rsid w:val="00200F16"/>
    <w:rsid w:val="00201685"/>
    <w:rsid w:val="00201855"/>
    <w:rsid w:val="00202913"/>
    <w:rsid w:val="00204D4F"/>
    <w:rsid w:val="00210178"/>
    <w:rsid w:val="0021466A"/>
    <w:rsid w:val="0021672E"/>
    <w:rsid w:val="00223230"/>
    <w:rsid w:val="00223C72"/>
    <w:rsid w:val="0022476A"/>
    <w:rsid w:val="00225134"/>
    <w:rsid w:val="00226066"/>
    <w:rsid w:val="00227695"/>
    <w:rsid w:val="00234E61"/>
    <w:rsid w:val="00236967"/>
    <w:rsid w:val="00240544"/>
    <w:rsid w:val="00241F22"/>
    <w:rsid w:val="002437EF"/>
    <w:rsid w:val="00243AA3"/>
    <w:rsid w:val="002504A8"/>
    <w:rsid w:val="0025760B"/>
    <w:rsid w:val="002605A4"/>
    <w:rsid w:val="00262110"/>
    <w:rsid w:val="00265349"/>
    <w:rsid w:val="00265DB7"/>
    <w:rsid w:val="00265EE2"/>
    <w:rsid w:val="0026620F"/>
    <w:rsid w:val="00271C40"/>
    <w:rsid w:val="00273316"/>
    <w:rsid w:val="00273CC7"/>
    <w:rsid w:val="00275026"/>
    <w:rsid w:val="00275028"/>
    <w:rsid w:val="00276ACA"/>
    <w:rsid w:val="002776BE"/>
    <w:rsid w:val="00282229"/>
    <w:rsid w:val="00283754"/>
    <w:rsid w:val="0028431E"/>
    <w:rsid w:val="0028726C"/>
    <w:rsid w:val="00290821"/>
    <w:rsid w:val="00293729"/>
    <w:rsid w:val="00296958"/>
    <w:rsid w:val="002A5978"/>
    <w:rsid w:val="002B5CA9"/>
    <w:rsid w:val="002B6000"/>
    <w:rsid w:val="002B6824"/>
    <w:rsid w:val="002C2123"/>
    <w:rsid w:val="002C2B0B"/>
    <w:rsid w:val="002C5F37"/>
    <w:rsid w:val="002D0E34"/>
    <w:rsid w:val="002D2777"/>
    <w:rsid w:val="002D43EB"/>
    <w:rsid w:val="002D77E4"/>
    <w:rsid w:val="002D7860"/>
    <w:rsid w:val="002E2552"/>
    <w:rsid w:val="002E6A09"/>
    <w:rsid w:val="002E75D9"/>
    <w:rsid w:val="002F065B"/>
    <w:rsid w:val="002F132F"/>
    <w:rsid w:val="002F3AC3"/>
    <w:rsid w:val="002F4B45"/>
    <w:rsid w:val="002F6703"/>
    <w:rsid w:val="002F67F8"/>
    <w:rsid w:val="003012FB"/>
    <w:rsid w:val="00302E2D"/>
    <w:rsid w:val="00304045"/>
    <w:rsid w:val="00306CFB"/>
    <w:rsid w:val="0031127F"/>
    <w:rsid w:val="00311E99"/>
    <w:rsid w:val="0031423C"/>
    <w:rsid w:val="00315088"/>
    <w:rsid w:val="00321642"/>
    <w:rsid w:val="00322385"/>
    <w:rsid w:val="003225E0"/>
    <w:rsid w:val="00322FEE"/>
    <w:rsid w:val="0032483F"/>
    <w:rsid w:val="00325654"/>
    <w:rsid w:val="003331D8"/>
    <w:rsid w:val="00334D81"/>
    <w:rsid w:val="00336A38"/>
    <w:rsid w:val="00336A5E"/>
    <w:rsid w:val="00341CE5"/>
    <w:rsid w:val="00341F9F"/>
    <w:rsid w:val="003431F3"/>
    <w:rsid w:val="00345860"/>
    <w:rsid w:val="00346B12"/>
    <w:rsid w:val="003478A7"/>
    <w:rsid w:val="00351DA7"/>
    <w:rsid w:val="00353EF9"/>
    <w:rsid w:val="00354231"/>
    <w:rsid w:val="00355BF0"/>
    <w:rsid w:val="00355F54"/>
    <w:rsid w:val="003560DA"/>
    <w:rsid w:val="003569BD"/>
    <w:rsid w:val="00357DEB"/>
    <w:rsid w:val="00360737"/>
    <w:rsid w:val="00361F69"/>
    <w:rsid w:val="00363116"/>
    <w:rsid w:val="003704FA"/>
    <w:rsid w:val="00371943"/>
    <w:rsid w:val="00373197"/>
    <w:rsid w:val="00380FDD"/>
    <w:rsid w:val="003845BE"/>
    <w:rsid w:val="003845CA"/>
    <w:rsid w:val="00385861"/>
    <w:rsid w:val="00387F1E"/>
    <w:rsid w:val="00390535"/>
    <w:rsid w:val="00391C6F"/>
    <w:rsid w:val="003924FC"/>
    <w:rsid w:val="003948A6"/>
    <w:rsid w:val="00395EC5"/>
    <w:rsid w:val="00397118"/>
    <w:rsid w:val="003A0774"/>
    <w:rsid w:val="003A450F"/>
    <w:rsid w:val="003A6C31"/>
    <w:rsid w:val="003B3E81"/>
    <w:rsid w:val="003B7237"/>
    <w:rsid w:val="003C1D8B"/>
    <w:rsid w:val="003D272D"/>
    <w:rsid w:val="003D3DDC"/>
    <w:rsid w:val="003E34E5"/>
    <w:rsid w:val="003E3508"/>
    <w:rsid w:val="003E4181"/>
    <w:rsid w:val="003E5D95"/>
    <w:rsid w:val="003E6BE4"/>
    <w:rsid w:val="003F31DE"/>
    <w:rsid w:val="003F5DE8"/>
    <w:rsid w:val="003F6C9D"/>
    <w:rsid w:val="003F70B5"/>
    <w:rsid w:val="003F75A6"/>
    <w:rsid w:val="00404153"/>
    <w:rsid w:val="004041FD"/>
    <w:rsid w:val="004049FC"/>
    <w:rsid w:val="00406EFB"/>
    <w:rsid w:val="00412A7C"/>
    <w:rsid w:val="004258DF"/>
    <w:rsid w:val="00426037"/>
    <w:rsid w:val="004265F5"/>
    <w:rsid w:val="004273B5"/>
    <w:rsid w:val="00427747"/>
    <w:rsid w:val="00427A56"/>
    <w:rsid w:val="004319C2"/>
    <w:rsid w:val="0043516F"/>
    <w:rsid w:val="0043723F"/>
    <w:rsid w:val="004436A9"/>
    <w:rsid w:val="0044383C"/>
    <w:rsid w:val="00444B17"/>
    <w:rsid w:val="00451ABE"/>
    <w:rsid w:val="00455C97"/>
    <w:rsid w:val="00455D82"/>
    <w:rsid w:val="00460146"/>
    <w:rsid w:val="00461E97"/>
    <w:rsid w:val="0047136F"/>
    <w:rsid w:val="004721D0"/>
    <w:rsid w:val="00472944"/>
    <w:rsid w:val="00472C4F"/>
    <w:rsid w:val="00474002"/>
    <w:rsid w:val="00474C28"/>
    <w:rsid w:val="00480344"/>
    <w:rsid w:val="00480CFA"/>
    <w:rsid w:val="00481B6B"/>
    <w:rsid w:val="004834B8"/>
    <w:rsid w:val="0048370C"/>
    <w:rsid w:val="00492220"/>
    <w:rsid w:val="00494D45"/>
    <w:rsid w:val="00495E5B"/>
    <w:rsid w:val="00496458"/>
    <w:rsid w:val="004977C6"/>
    <w:rsid w:val="004A03CB"/>
    <w:rsid w:val="004A147A"/>
    <w:rsid w:val="004A1C12"/>
    <w:rsid w:val="004A21D7"/>
    <w:rsid w:val="004A3527"/>
    <w:rsid w:val="004B1B13"/>
    <w:rsid w:val="004B30A0"/>
    <w:rsid w:val="004B4CF8"/>
    <w:rsid w:val="004B54F5"/>
    <w:rsid w:val="004C0677"/>
    <w:rsid w:val="004C546B"/>
    <w:rsid w:val="004C5BA0"/>
    <w:rsid w:val="004C73C3"/>
    <w:rsid w:val="004D1382"/>
    <w:rsid w:val="004D2747"/>
    <w:rsid w:val="004D36AB"/>
    <w:rsid w:val="004D52E8"/>
    <w:rsid w:val="004E418B"/>
    <w:rsid w:val="004E71B7"/>
    <w:rsid w:val="004E726C"/>
    <w:rsid w:val="004F01BE"/>
    <w:rsid w:val="004F18FB"/>
    <w:rsid w:val="004F1F94"/>
    <w:rsid w:val="004F39AB"/>
    <w:rsid w:val="004F4720"/>
    <w:rsid w:val="004F7C83"/>
    <w:rsid w:val="00502E46"/>
    <w:rsid w:val="005032B9"/>
    <w:rsid w:val="0050464F"/>
    <w:rsid w:val="00505858"/>
    <w:rsid w:val="005068D3"/>
    <w:rsid w:val="0051207C"/>
    <w:rsid w:val="00513CF4"/>
    <w:rsid w:val="00514109"/>
    <w:rsid w:val="00514846"/>
    <w:rsid w:val="00523D63"/>
    <w:rsid w:val="005249D8"/>
    <w:rsid w:val="00530944"/>
    <w:rsid w:val="0053116E"/>
    <w:rsid w:val="00532FC1"/>
    <w:rsid w:val="00533552"/>
    <w:rsid w:val="00534FD9"/>
    <w:rsid w:val="00537D0D"/>
    <w:rsid w:val="0054139D"/>
    <w:rsid w:val="00543582"/>
    <w:rsid w:val="00545B30"/>
    <w:rsid w:val="00545D75"/>
    <w:rsid w:val="005539A3"/>
    <w:rsid w:val="005541F6"/>
    <w:rsid w:val="005558D5"/>
    <w:rsid w:val="00555BEB"/>
    <w:rsid w:val="0055729F"/>
    <w:rsid w:val="005600A1"/>
    <w:rsid w:val="00561484"/>
    <w:rsid w:val="00562D24"/>
    <w:rsid w:val="00563672"/>
    <w:rsid w:val="00565C9B"/>
    <w:rsid w:val="00565DFB"/>
    <w:rsid w:val="005662DE"/>
    <w:rsid w:val="00566C96"/>
    <w:rsid w:val="00567E49"/>
    <w:rsid w:val="005719C1"/>
    <w:rsid w:val="00571FB2"/>
    <w:rsid w:val="00572918"/>
    <w:rsid w:val="00581517"/>
    <w:rsid w:val="005830CE"/>
    <w:rsid w:val="0058314C"/>
    <w:rsid w:val="0058580E"/>
    <w:rsid w:val="00590033"/>
    <w:rsid w:val="00593689"/>
    <w:rsid w:val="0059741B"/>
    <w:rsid w:val="00597F0A"/>
    <w:rsid w:val="005A13FA"/>
    <w:rsid w:val="005A2917"/>
    <w:rsid w:val="005A48D9"/>
    <w:rsid w:val="005B1217"/>
    <w:rsid w:val="005B16B4"/>
    <w:rsid w:val="005B40B3"/>
    <w:rsid w:val="005B5027"/>
    <w:rsid w:val="005B6CB6"/>
    <w:rsid w:val="005C2BC3"/>
    <w:rsid w:val="005C349F"/>
    <w:rsid w:val="005D019F"/>
    <w:rsid w:val="005D0E5F"/>
    <w:rsid w:val="005D555F"/>
    <w:rsid w:val="005D5890"/>
    <w:rsid w:val="005D6F85"/>
    <w:rsid w:val="005E001F"/>
    <w:rsid w:val="005E506D"/>
    <w:rsid w:val="005E528E"/>
    <w:rsid w:val="005E708D"/>
    <w:rsid w:val="005F2374"/>
    <w:rsid w:val="005F297C"/>
    <w:rsid w:val="005F48A6"/>
    <w:rsid w:val="005F5146"/>
    <w:rsid w:val="00600080"/>
    <w:rsid w:val="00601B6F"/>
    <w:rsid w:val="00601E50"/>
    <w:rsid w:val="00604B74"/>
    <w:rsid w:val="00606069"/>
    <w:rsid w:val="006102B2"/>
    <w:rsid w:val="006117AC"/>
    <w:rsid w:val="00611CB5"/>
    <w:rsid w:val="00612D8B"/>
    <w:rsid w:val="0061450F"/>
    <w:rsid w:val="00614AE1"/>
    <w:rsid w:val="00616DC9"/>
    <w:rsid w:val="00622E9E"/>
    <w:rsid w:val="0062423D"/>
    <w:rsid w:val="0062425A"/>
    <w:rsid w:val="00625E1B"/>
    <w:rsid w:val="00635234"/>
    <w:rsid w:val="00636D70"/>
    <w:rsid w:val="0063725B"/>
    <w:rsid w:val="006412EA"/>
    <w:rsid w:val="00642FFE"/>
    <w:rsid w:val="00645C3C"/>
    <w:rsid w:val="00647F52"/>
    <w:rsid w:val="00652258"/>
    <w:rsid w:val="0065235D"/>
    <w:rsid w:val="006525E8"/>
    <w:rsid w:val="00657CE9"/>
    <w:rsid w:val="00660417"/>
    <w:rsid w:val="0066142B"/>
    <w:rsid w:val="00664A1A"/>
    <w:rsid w:val="00667D9E"/>
    <w:rsid w:val="00671DB9"/>
    <w:rsid w:val="00673496"/>
    <w:rsid w:val="00673945"/>
    <w:rsid w:val="00677063"/>
    <w:rsid w:val="006776F7"/>
    <w:rsid w:val="00682B73"/>
    <w:rsid w:val="00683125"/>
    <w:rsid w:val="006864CE"/>
    <w:rsid w:val="00687BFA"/>
    <w:rsid w:val="00687F85"/>
    <w:rsid w:val="00691773"/>
    <w:rsid w:val="006932AA"/>
    <w:rsid w:val="0069594E"/>
    <w:rsid w:val="006A6919"/>
    <w:rsid w:val="006B22B1"/>
    <w:rsid w:val="006B745B"/>
    <w:rsid w:val="006C003C"/>
    <w:rsid w:val="006C0D3E"/>
    <w:rsid w:val="006C231E"/>
    <w:rsid w:val="006C26AE"/>
    <w:rsid w:val="006C343A"/>
    <w:rsid w:val="006C4268"/>
    <w:rsid w:val="006C574E"/>
    <w:rsid w:val="006C6893"/>
    <w:rsid w:val="006D08A9"/>
    <w:rsid w:val="006D14CB"/>
    <w:rsid w:val="006D1735"/>
    <w:rsid w:val="006D38EB"/>
    <w:rsid w:val="006D7F71"/>
    <w:rsid w:val="006E3C16"/>
    <w:rsid w:val="006E47C8"/>
    <w:rsid w:val="006F0901"/>
    <w:rsid w:val="006F173D"/>
    <w:rsid w:val="006F1780"/>
    <w:rsid w:val="007013DD"/>
    <w:rsid w:val="00701662"/>
    <w:rsid w:val="007025E2"/>
    <w:rsid w:val="00703382"/>
    <w:rsid w:val="007052D8"/>
    <w:rsid w:val="00705C0A"/>
    <w:rsid w:val="00710C60"/>
    <w:rsid w:val="00714A34"/>
    <w:rsid w:val="0072107B"/>
    <w:rsid w:val="00721903"/>
    <w:rsid w:val="00722630"/>
    <w:rsid w:val="00731D1A"/>
    <w:rsid w:val="007323C1"/>
    <w:rsid w:val="0073258D"/>
    <w:rsid w:val="007331A5"/>
    <w:rsid w:val="007332F4"/>
    <w:rsid w:val="00733A81"/>
    <w:rsid w:val="00733FE7"/>
    <w:rsid w:val="00736E46"/>
    <w:rsid w:val="00736E74"/>
    <w:rsid w:val="00740257"/>
    <w:rsid w:val="00741FFB"/>
    <w:rsid w:val="007454D8"/>
    <w:rsid w:val="007456D0"/>
    <w:rsid w:val="00750170"/>
    <w:rsid w:val="0075440D"/>
    <w:rsid w:val="00755898"/>
    <w:rsid w:val="00760CD4"/>
    <w:rsid w:val="00760EC1"/>
    <w:rsid w:val="007612F3"/>
    <w:rsid w:val="00761F93"/>
    <w:rsid w:val="00765F4B"/>
    <w:rsid w:val="00770C7E"/>
    <w:rsid w:val="00772946"/>
    <w:rsid w:val="00772F12"/>
    <w:rsid w:val="00775211"/>
    <w:rsid w:val="0077523C"/>
    <w:rsid w:val="00775B52"/>
    <w:rsid w:val="0077689D"/>
    <w:rsid w:val="00780D37"/>
    <w:rsid w:val="00782FBB"/>
    <w:rsid w:val="00783BDA"/>
    <w:rsid w:val="00792041"/>
    <w:rsid w:val="007924D5"/>
    <w:rsid w:val="007933C6"/>
    <w:rsid w:val="00794E70"/>
    <w:rsid w:val="00796ECF"/>
    <w:rsid w:val="00797720"/>
    <w:rsid w:val="007A054F"/>
    <w:rsid w:val="007A3D51"/>
    <w:rsid w:val="007A3EB6"/>
    <w:rsid w:val="007B238B"/>
    <w:rsid w:val="007B38FC"/>
    <w:rsid w:val="007B466B"/>
    <w:rsid w:val="007B73F8"/>
    <w:rsid w:val="007C3F86"/>
    <w:rsid w:val="007C4001"/>
    <w:rsid w:val="007C5AA0"/>
    <w:rsid w:val="007D02E2"/>
    <w:rsid w:val="007D14D1"/>
    <w:rsid w:val="007D56C1"/>
    <w:rsid w:val="007D5A2A"/>
    <w:rsid w:val="007D7337"/>
    <w:rsid w:val="007E04BE"/>
    <w:rsid w:val="007E43DE"/>
    <w:rsid w:val="007E5940"/>
    <w:rsid w:val="007E5D37"/>
    <w:rsid w:val="007E749C"/>
    <w:rsid w:val="007F0F6A"/>
    <w:rsid w:val="007F1DAE"/>
    <w:rsid w:val="007F578F"/>
    <w:rsid w:val="007F7267"/>
    <w:rsid w:val="0080073D"/>
    <w:rsid w:val="00800CA9"/>
    <w:rsid w:val="0080181D"/>
    <w:rsid w:val="0080408B"/>
    <w:rsid w:val="0080422D"/>
    <w:rsid w:val="008118D8"/>
    <w:rsid w:val="00812A62"/>
    <w:rsid w:val="008131C5"/>
    <w:rsid w:val="0081405E"/>
    <w:rsid w:val="00815446"/>
    <w:rsid w:val="00816B3E"/>
    <w:rsid w:val="008200AC"/>
    <w:rsid w:val="00820207"/>
    <w:rsid w:val="00821C9B"/>
    <w:rsid w:val="00822D75"/>
    <w:rsid w:val="00823226"/>
    <w:rsid w:val="0082413C"/>
    <w:rsid w:val="00831AB5"/>
    <w:rsid w:val="00832C66"/>
    <w:rsid w:val="00833D30"/>
    <w:rsid w:val="00834492"/>
    <w:rsid w:val="00840E65"/>
    <w:rsid w:val="00841023"/>
    <w:rsid w:val="00843D9F"/>
    <w:rsid w:val="0084482C"/>
    <w:rsid w:val="00845472"/>
    <w:rsid w:val="00845C9B"/>
    <w:rsid w:val="00847A05"/>
    <w:rsid w:val="00847C76"/>
    <w:rsid w:val="008555BF"/>
    <w:rsid w:val="0085747A"/>
    <w:rsid w:val="00860967"/>
    <w:rsid w:val="008645A3"/>
    <w:rsid w:val="008648AB"/>
    <w:rsid w:val="008704FE"/>
    <w:rsid w:val="00871313"/>
    <w:rsid w:val="00873EB9"/>
    <w:rsid w:val="00874E74"/>
    <w:rsid w:val="00877F70"/>
    <w:rsid w:val="00886655"/>
    <w:rsid w:val="008906F3"/>
    <w:rsid w:val="00892432"/>
    <w:rsid w:val="00892BF9"/>
    <w:rsid w:val="008934B6"/>
    <w:rsid w:val="00893936"/>
    <w:rsid w:val="008A1C89"/>
    <w:rsid w:val="008A38FF"/>
    <w:rsid w:val="008A40B7"/>
    <w:rsid w:val="008B07BF"/>
    <w:rsid w:val="008B0DFE"/>
    <w:rsid w:val="008B2B1E"/>
    <w:rsid w:val="008B3705"/>
    <w:rsid w:val="008B37E0"/>
    <w:rsid w:val="008B589F"/>
    <w:rsid w:val="008B58E2"/>
    <w:rsid w:val="008B663D"/>
    <w:rsid w:val="008B71DE"/>
    <w:rsid w:val="008C4072"/>
    <w:rsid w:val="008D0CDB"/>
    <w:rsid w:val="008D4F68"/>
    <w:rsid w:val="008D6566"/>
    <w:rsid w:val="008D756E"/>
    <w:rsid w:val="008D790B"/>
    <w:rsid w:val="008E3F1F"/>
    <w:rsid w:val="008E412D"/>
    <w:rsid w:val="008E419A"/>
    <w:rsid w:val="008E463C"/>
    <w:rsid w:val="008E5059"/>
    <w:rsid w:val="008E5579"/>
    <w:rsid w:val="008F55F9"/>
    <w:rsid w:val="008F5B4A"/>
    <w:rsid w:val="008F6CFE"/>
    <w:rsid w:val="0090246A"/>
    <w:rsid w:val="009102C6"/>
    <w:rsid w:val="00913122"/>
    <w:rsid w:val="009146BE"/>
    <w:rsid w:val="00914A40"/>
    <w:rsid w:val="00915A41"/>
    <w:rsid w:val="009166C7"/>
    <w:rsid w:val="00916B2C"/>
    <w:rsid w:val="00917330"/>
    <w:rsid w:val="00917986"/>
    <w:rsid w:val="00920897"/>
    <w:rsid w:val="00921837"/>
    <w:rsid w:val="009245BC"/>
    <w:rsid w:val="009249C3"/>
    <w:rsid w:val="00927560"/>
    <w:rsid w:val="00930265"/>
    <w:rsid w:val="0093117B"/>
    <w:rsid w:val="009316B8"/>
    <w:rsid w:val="00931754"/>
    <w:rsid w:val="00933513"/>
    <w:rsid w:val="009337F7"/>
    <w:rsid w:val="00933AF4"/>
    <w:rsid w:val="00936EA1"/>
    <w:rsid w:val="00943640"/>
    <w:rsid w:val="00944619"/>
    <w:rsid w:val="00946B47"/>
    <w:rsid w:val="0094731F"/>
    <w:rsid w:val="009527A4"/>
    <w:rsid w:val="00952CC5"/>
    <w:rsid w:val="0095496E"/>
    <w:rsid w:val="00955336"/>
    <w:rsid w:val="0095620C"/>
    <w:rsid w:val="00962019"/>
    <w:rsid w:val="0096239D"/>
    <w:rsid w:val="00963CD2"/>
    <w:rsid w:val="0096422E"/>
    <w:rsid w:val="00965574"/>
    <w:rsid w:val="00970676"/>
    <w:rsid w:val="0098077A"/>
    <w:rsid w:val="00982A86"/>
    <w:rsid w:val="00983740"/>
    <w:rsid w:val="0098434B"/>
    <w:rsid w:val="00985AAD"/>
    <w:rsid w:val="0099113A"/>
    <w:rsid w:val="00991787"/>
    <w:rsid w:val="009956B5"/>
    <w:rsid w:val="009A0211"/>
    <w:rsid w:val="009A1B53"/>
    <w:rsid w:val="009A1F5C"/>
    <w:rsid w:val="009A2BA5"/>
    <w:rsid w:val="009A3F35"/>
    <w:rsid w:val="009A6EC7"/>
    <w:rsid w:val="009B108B"/>
    <w:rsid w:val="009B12E2"/>
    <w:rsid w:val="009B2CC3"/>
    <w:rsid w:val="009B5F27"/>
    <w:rsid w:val="009B6705"/>
    <w:rsid w:val="009C0527"/>
    <w:rsid w:val="009C17CE"/>
    <w:rsid w:val="009C7CA6"/>
    <w:rsid w:val="009D01FC"/>
    <w:rsid w:val="009D3532"/>
    <w:rsid w:val="009D3D1A"/>
    <w:rsid w:val="009E0D39"/>
    <w:rsid w:val="009E4A3C"/>
    <w:rsid w:val="009E76B6"/>
    <w:rsid w:val="009F1C7B"/>
    <w:rsid w:val="009F1D8B"/>
    <w:rsid w:val="009F1E65"/>
    <w:rsid w:val="009F377C"/>
    <w:rsid w:val="009F58A3"/>
    <w:rsid w:val="009F59B1"/>
    <w:rsid w:val="009F6FB5"/>
    <w:rsid w:val="009F72E3"/>
    <w:rsid w:val="00A0157B"/>
    <w:rsid w:val="00A01B19"/>
    <w:rsid w:val="00A02623"/>
    <w:rsid w:val="00A02B30"/>
    <w:rsid w:val="00A043A6"/>
    <w:rsid w:val="00A05AD7"/>
    <w:rsid w:val="00A06049"/>
    <w:rsid w:val="00A130B8"/>
    <w:rsid w:val="00A16ED7"/>
    <w:rsid w:val="00A21736"/>
    <w:rsid w:val="00A22150"/>
    <w:rsid w:val="00A23070"/>
    <w:rsid w:val="00A24D9F"/>
    <w:rsid w:val="00A271D4"/>
    <w:rsid w:val="00A349B4"/>
    <w:rsid w:val="00A362AB"/>
    <w:rsid w:val="00A40D53"/>
    <w:rsid w:val="00A4155A"/>
    <w:rsid w:val="00A41BF7"/>
    <w:rsid w:val="00A43B31"/>
    <w:rsid w:val="00A50494"/>
    <w:rsid w:val="00A618C7"/>
    <w:rsid w:val="00A63945"/>
    <w:rsid w:val="00A6715B"/>
    <w:rsid w:val="00A7224B"/>
    <w:rsid w:val="00A75283"/>
    <w:rsid w:val="00A757E2"/>
    <w:rsid w:val="00A8008A"/>
    <w:rsid w:val="00A85BCE"/>
    <w:rsid w:val="00A86372"/>
    <w:rsid w:val="00A91D6E"/>
    <w:rsid w:val="00A95FA2"/>
    <w:rsid w:val="00AA114D"/>
    <w:rsid w:val="00AA36CB"/>
    <w:rsid w:val="00AA3C2F"/>
    <w:rsid w:val="00AA483E"/>
    <w:rsid w:val="00AA5ADE"/>
    <w:rsid w:val="00AA6A9A"/>
    <w:rsid w:val="00AB3470"/>
    <w:rsid w:val="00AB4430"/>
    <w:rsid w:val="00AB4E65"/>
    <w:rsid w:val="00AB7514"/>
    <w:rsid w:val="00AC31E7"/>
    <w:rsid w:val="00AC72D0"/>
    <w:rsid w:val="00AD1476"/>
    <w:rsid w:val="00AD18E4"/>
    <w:rsid w:val="00AD2CA3"/>
    <w:rsid w:val="00AE04FA"/>
    <w:rsid w:val="00AE0856"/>
    <w:rsid w:val="00AF2FF4"/>
    <w:rsid w:val="00AF4C41"/>
    <w:rsid w:val="00AF4E82"/>
    <w:rsid w:val="00AF56F1"/>
    <w:rsid w:val="00B00B34"/>
    <w:rsid w:val="00B029FA"/>
    <w:rsid w:val="00B0528D"/>
    <w:rsid w:val="00B05AA0"/>
    <w:rsid w:val="00B0777C"/>
    <w:rsid w:val="00B1035F"/>
    <w:rsid w:val="00B10672"/>
    <w:rsid w:val="00B1104C"/>
    <w:rsid w:val="00B130AD"/>
    <w:rsid w:val="00B137A1"/>
    <w:rsid w:val="00B1569C"/>
    <w:rsid w:val="00B15F9B"/>
    <w:rsid w:val="00B21873"/>
    <w:rsid w:val="00B35351"/>
    <w:rsid w:val="00B36443"/>
    <w:rsid w:val="00B42D5B"/>
    <w:rsid w:val="00B46CE2"/>
    <w:rsid w:val="00B5319D"/>
    <w:rsid w:val="00B64FE0"/>
    <w:rsid w:val="00B65033"/>
    <w:rsid w:val="00B65D5D"/>
    <w:rsid w:val="00B70D81"/>
    <w:rsid w:val="00B72457"/>
    <w:rsid w:val="00B7290F"/>
    <w:rsid w:val="00B76A3B"/>
    <w:rsid w:val="00B771FE"/>
    <w:rsid w:val="00B835C8"/>
    <w:rsid w:val="00B83B2F"/>
    <w:rsid w:val="00B901F1"/>
    <w:rsid w:val="00B918AA"/>
    <w:rsid w:val="00B92DD7"/>
    <w:rsid w:val="00BA339A"/>
    <w:rsid w:val="00BA340E"/>
    <w:rsid w:val="00BA50C9"/>
    <w:rsid w:val="00BB1E1C"/>
    <w:rsid w:val="00BB6FCE"/>
    <w:rsid w:val="00BC0A10"/>
    <w:rsid w:val="00BC2679"/>
    <w:rsid w:val="00BC2DB4"/>
    <w:rsid w:val="00BC371E"/>
    <w:rsid w:val="00BC4E80"/>
    <w:rsid w:val="00BD2186"/>
    <w:rsid w:val="00BD2FDE"/>
    <w:rsid w:val="00BE1B86"/>
    <w:rsid w:val="00BE2A0A"/>
    <w:rsid w:val="00BE4D18"/>
    <w:rsid w:val="00BE69F7"/>
    <w:rsid w:val="00BF1952"/>
    <w:rsid w:val="00BF2333"/>
    <w:rsid w:val="00BF361C"/>
    <w:rsid w:val="00C005DB"/>
    <w:rsid w:val="00C02DA9"/>
    <w:rsid w:val="00C02EA0"/>
    <w:rsid w:val="00C13811"/>
    <w:rsid w:val="00C147D3"/>
    <w:rsid w:val="00C2516D"/>
    <w:rsid w:val="00C25798"/>
    <w:rsid w:val="00C2645E"/>
    <w:rsid w:val="00C27313"/>
    <w:rsid w:val="00C277CB"/>
    <w:rsid w:val="00C31A5E"/>
    <w:rsid w:val="00C325D0"/>
    <w:rsid w:val="00C33154"/>
    <w:rsid w:val="00C34542"/>
    <w:rsid w:val="00C36DB1"/>
    <w:rsid w:val="00C37A6D"/>
    <w:rsid w:val="00C42E25"/>
    <w:rsid w:val="00C43B3A"/>
    <w:rsid w:val="00C43C77"/>
    <w:rsid w:val="00C43DC7"/>
    <w:rsid w:val="00C451AA"/>
    <w:rsid w:val="00C471DD"/>
    <w:rsid w:val="00C504A7"/>
    <w:rsid w:val="00C50CE3"/>
    <w:rsid w:val="00C50DDA"/>
    <w:rsid w:val="00C5229E"/>
    <w:rsid w:val="00C544FA"/>
    <w:rsid w:val="00C54867"/>
    <w:rsid w:val="00C552AB"/>
    <w:rsid w:val="00C611C2"/>
    <w:rsid w:val="00C71A15"/>
    <w:rsid w:val="00C742F2"/>
    <w:rsid w:val="00C7433C"/>
    <w:rsid w:val="00C76E33"/>
    <w:rsid w:val="00C80A81"/>
    <w:rsid w:val="00C82A4D"/>
    <w:rsid w:val="00C82C3E"/>
    <w:rsid w:val="00C84C9C"/>
    <w:rsid w:val="00C87101"/>
    <w:rsid w:val="00C904C9"/>
    <w:rsid w:val="00C925BD"/>
    <w:rsid w:val="00C95A4C"/>
    <w:rsid w:val="00CA50FA"/>
    <w:rsid w:val="00CA5509"/>
    <w:rsid w:val="00CA6D6E"/>
    <w:rsid w:val="00CA71A0"/>
    <w:rsid w:val="00CB61E7"/>
    <w:rsid w:val="00CB6C56"/>
    <w:rsid w:val="00CB6D67"/>
    <w:rsid w:val="00CC12B6"/>
    <w:rsid w:val="00CC234D"/>
    <w:rsid w:val="00CC3550"/>
    <w:rsid w:val="00CC5132"/>
    <w:rsid w:val="00CD0416"/>
    <w:rsid w:val="00CD0864"/>
    <w:rsid w:val="00CD7495"/>
    <w:rsid w:val="00CD7A5D"/>
    <w:rsid w:val="00CE002E"/>
    <w:rsid w:val="00CE203D"/>
    <w:rsid w:val="00CE29B4"/>
    <w:rsid w:val="00CE52ED"/>
    <w:rsid w:val="00CE6459"/>
    <w:rsid w:val="00CF123D"/>
    <w:rsid w:val="00CF1499"/>
    <w:rsid w:val="00CF187A"/>
    <w:rsid w:val="00CF25F9"/>
    <w:rsid w:val="00CF42FF"/>
    <w:rsid w:val="00CF44EC"/>
    <w:rsid w:val="00CF7A58"/>
    <w:rsid w:val="00D0038D"/>
    <w:rsid w:val="00D01F72"/>
    <w:rsid w:val="00D1050F"/>
    <w:rsid w:val="00D10708"/>
    <w:rsid w:val="00D11589"/>
    <w:rsid w:val="00D1170F"/>
    <w:rsid w:val="00D13D0F"/>
    <w:rsid w:val="00D2231E"/>
    <w:rsid w:val="00D24389"/>
    <w:rsid w:val="00D256EE"/>
    <w:rsid w:val="00D26CD9"/>
    <w:rsid w:val="00D35E9E"/>
    <w:rsid w:val="00D4555D"/>
    <w:rsid w:val="00D456BB"/>
    <w:rsid w:val="00D540A2"/>
    <w:rsid w:val="00D54966"/>
    <w:rsid w:val="00D6523C"/>
    <w:rsid w:val="00D672E7"/>
    <w:rsid w:val="00D727D5"/>
    <w:rsid w:val="00D73D5C"/>
    <w:rsid w:val="00D77803"/>
    <w:rsid w:val="00D77994"/>
    <w:rsid w:val="00D81371"/>
    <w:rsid w:val="00D81D69"/>
    <w:rsid w:val="00D829CC"/>
    <w:rsid w:val="00D855E8"/>
    <w:rsid w:val="00D86405"/>
    <w:rsid w:val="00D87A48"/>
    <w:rsid w:val="00D90B33"/>
    <w:rsid w:val="00D917B9"/>
    <w:rsid w:val="00D92A5B"/>
    <w:rsid w:val="00D92A9F"/>
    <w:rsid w:val="00D9350E"/>
    <w:rsid w:val="00D971D2"/>
    <w:rsid w:val="00D979EB"/>
    <w:rsid w:val="00DA0ED9"/>
    <w:rsid w:val="00DA3CF7"/>
    <w:rsid w:val="00DB0CD1"/>
    <w:rsid w:val="00DB24A7"/>
    <w:rsid w:val="00DB498C"/>
    <w:rsid w:val="00DB5CB4"/>
    <w:rsid w:val="00DB6A03"/>
    <w:rsid w:val="00DC2C8C"/>
    <w:rsid w:val="00DD4595"/>
    <w:rsid w:val="00DD4B0F"/>
    <w:rsid w:val="00DD54BE"/>
    <w:rsid w:val="00DD76CE"/>
    <w:rsid w:val="00DE0A1F"/>
    <w:rsid w:val="00DE1DD5"/>
    <w:rsid w:val="00DE3CCA"/>
    <w:rsid w:val="00DE639D"/>
    <w:rsid w:val="00DE6C67"/>
    <w:rsid w:val="00DE6F52"/>
    <w:rsid w:val="00DE7281"/>
    <w:rsid w:val="00DF1871"/>
    <w:rsid w:val="00DF2043"/>
    <w:rsid w:val="00DF75A1"/>
    <w:rsid w:val="00E01847"/>
    <w:rsid w:val="00E04273"/>
    <w:rsid w:val="00E0618D"/>
    <w:rsid w:val="00E06B28"/>
    <w:rsid w:val="00E1111D"/>
    <w:rsid w:val="00E15009"/>
    <w:rsid w:val="00E1622A"/>
    <w:rsid w:val="00E20E6D"/>
    <w:rsid w:val="00E22828"/>
    <w:rsid w:val="00E24B9B"/>
    <w:rsid w:val="00E32127"/>
    <w:rsid w:val="00E40B23"/>
    <w:rsid w:val="00E41402"/>
    <w:rsid w:val="00E45B3D"/>
    <w:rsid w:val="00E52877"/>
    <w:rsid w:val="00E52DB2"/>
    <w:rsid w:val="00E56C95"/>
    <w:rsid w:val="00E625A5"/>
    <w:rsid w:val="00E62FB4"/>
    <w:rsid w:val="00E64851"/>
    <w:rsid w:val="00E7096C"/>
    <w:rsid w:val="00E712D6"/>
    <w:rsid w:val="00E745AE"/>
    <w:rsid w:val="00E778C7"/>
    <w:rsid w:val="00E806AA"/>
    <w:rsid w:val="00E85877"/>
    <w:rsid w:val="00E858C4"/>
    <w:rsid w:val="00E8630E"/>
    <w:rsid w:val="00E907B7"/>
    <w:rsid w:val="00E90A8A"/>
    <w:rsid w:val="00E91A2C"/>
    <w:rsid w:val="00E95B25"/>
    <w:rsid w:val="00EA75F5"/>
    <w:rsid w:val="00EA762F"/>
    <w:rsid w:val="00EC1B97"/>
    <w:rsid w:val="00EC646C"/>
    <w:rsid w:val="00EC7426"/>
    <w:rsid w:val="00ED0363"/>
    <w:rsid w:val="00ED1577"/>
    <w:rsid w:val="00ED384D"/>
    <w:rsid w:val="00ED5846"/>
    <w:rsid w:val="00ED7678"/>
    <w:rsid w:val="00EE41A3"/>
    <w:rsid w:val="00EE4DCC"/>
    <w:rsid w:val="00EE4E85"/>
    <w:rsid w:val="00EF0F77"/>
    <w:rsid w:val="00EF5549"/>
    <w:rsid w:val="00EF5B6D"/>
    <w:rsid w:val="00F02002"/>
    <w:rsid w:val="00F02A2C"/>
    <w:rsid w:val="00F02FE1"/>
    <w:rsid w:val="00F042CE"/>
    <w:rsid w:val="00F13A5B"/>
    <w:rsid w:val="00F17545"/>
    <w:rsid w:val="00F175B2"/>
    <w:rsid w:val="00F20E8A"/>
    <w:rsid w:val="00F20E90"/>
    <w:rsid w:val="00F2158A"/>
    <w:rsid w:val="00F23154"/>
    <w:rsid w:val="00F2315F"/>
    <w:rsid w:val="00F23757"/>
    <w:rsid w:val="00F24399"/>
    <w:rsid w:val="00F27160"/>
    <w:rsid w:val="00F315FB"/>
    <w:rsid w:val="00F369A4"/>
    <w:rsid w:val="00F40A11"/>
    <w:rsid w:val="00F40D9C"/>
    <w:rsid w:val="00F42DB9"/>
    <w:rsid w:val="00F45E3A"/>
    <w:rsid w:val="00F461C4"/>
    <w:rsid w:val="00F47CAB"/>
    <w:rsid w:val="00F51436"/>
    <w:rsid w:val="00F52A6E"/>
    <w:rsid w:val="00F543FE"/>
    <w:rsid w:val="00F544B9"/>
    <w:rsid w:val="00F54739"/>
    <w:rsid w:val="00F5476E"/>
    <w:rsid w:val="00F5488B"/>
    <w:rsid w:val="00F56040"/>
    <w:rsid w:val="00F56C70"/>
    <w:rsid w:val="00F576A7"/>
    <w:rsid w:val="00F6192E"/>
    <w:rsid w:val="00F62C3C"/>
    <w:rsid w:val="00F63997"/>
    <w:rsid w:val="00F644BB"/>
    <w:rsid w:val="00F64981"/>
    <w:rsid w:val="00F65927"/>
    <w:rsid w:val="00F65F66"/>
    <w:rsid w:val="00F705A2"/>
    <w:rsid w:val="00F73EE7"/>
    <w:rsid w:val="00F765B9"/>
    <w:rsid w:val="00F81FF1"/>
    <w:rsid w:val="00F844ED"/>
    <w:rsid w:val="00F8670E"/>
    <w:rsid w:val="00F92215"/>
    <w:rsid w:val="00F93547"/>
    <w:rsid w:val="00F9391B"/>
    <w:rsid w:val="00F9403D"/>
    <w:rsid w:val="00F97611"/>
    <w:rsid w:val="00FA05C8"/>
    <w:rsid w:val="00FA1DA1"/>
    <w:rsid w:val="00FA3941"/>
    <w:rsid w:val="00FB074F"/>
    <w:rsid w:val="00FB343A"/>
    <w:rsid w:val="00FB5CCD"/>
    <w:rsid w:val="00FB7758"/>
    <w:rsid w:val="00FC111D"/>
    <w:rsid w:val="00FC20D3"/>
    <w:rsid w:val="00FC3789"/>
    <w:rsid w:val="00FC5C5E"/>
    <w:rsid w:val="00FD2B9B"/>
    <w:rsid w:val="00FD3F80"/>
    <w:rsid w:val="00FD4934"/>
    <w:rsid w:val="00FD6A56"/>
    <w:rsid w:val="00FE2618"/>
    <w:rsid w:val="00FE3392"/>
    <w:rsid w:val="00FE3B09"/>
    <w:rsid w:val="00FE73BA"/>
    <w:rsid w:val="00FE79AF"/>
    <w:rsid w:val="00FF180E"/>
    <w:rsid w:val="00FF705A"/>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94513D"/>
  <w15:docId w15:val="{7B46085C-5906-448C-9C92-1A5AD2A305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FOGLIANO_Normale"/>
    <w:qFormat/>
    <w:rsid w:val="00E20E6D"/>
    <w:pPr>
      <w:spacing w:after="120" w:line="360" w:lineRule="auto"/>
      <w:jc w:val="both"/>
    </w:pPr>
    <w:rPr>
      <w:rFonts w:ascii="Swis721 Cn BT" w:hAnsi="Swis721 Cn BT"/>
    </w:rPr>
  </w:style>
  <w:style w:type="paragraph" w:styleId="Heading1">
    <w:name w:val="heading 1"/>
    <w:aliases w:val="FOGLIANO_Titolo 1,PAULLESE-Titolo 1,shman,Part,Paragrafo,TITOLO PARAGRAFO,ARTÍCULO,Titolo 0,Paragrafo1,1 Titolo 1,Tit_std1,1 ghost,g,Prezzi,Pr,NORMALE,1 Stile Titolo 1,1-ITEC,Capitolo,Subtitle1,überschrift 1,H1,Heading 11,-Cap-PZ"/>
    <w:basedOn w:val="Normal"/>
    <w:link w:val="Heading1Char"/>
    <w:uiPriority w:val="9"/>
    <w:qFormat/>
    <w:rsid w:val="00E20E6D"/>
    <w:pPr>
      <w:keepNext/>
      <w:pageBreakBefore/>
      <w:numPr>
        <w:numId w:val="1"/>
      </w:numPr>
      <w:pBdr>
        <w:bottom w:val="single" w:sz="4" w:space="1" w:color="auto"/>
      </w:pBdr>
      <w:spacing w:before="240" w:after="240" w:line="240" w:lineRule="auto"/>
      <w:jc w:val="left"/>
      <w:outlineLvl w:val="0"/>
    </w:pPr>
    <w:rPr>
      <w:rFonts w:eastAsia="Times New Roman" w:cs="Times New Roman"/>
      <w:b/>
      <w:bCs/>
      <w:caps/>
      <w:kern w:val="36"/>
      <w:sz w:val="28"/>
      <w:szCs w:val="48"/>
      <w:lang w:eastAsia="it-IT"/>
    </w:rPr>
  </w:style>
  <w:style w:type="paragraph" w:styleId="Heading2">
    <w:name w:val="heading 2"/>
    <w:aliases w:val="FOGLIANO_Titolo 2,PAULLESE-Titolo2,Chapter Title,H2,Attribute Heading 2,TIT2,Titolo 21,Titolo 2 Carattere Carattere Carattere,Titolo 2 Carattere Carattere Carattere Carattere,TITOLO 2,Nome Paragrafo Carattere,p79_Titolo 2,Nome Paragrafo,2-ITEC"/>
    <w:basedOn w:val="Normal"/>
    <w:next w:val="Normal"/>
    <w:link w:val="Heading2Char"/>
    <w:uiPriority w:val="99"/>
    <w:unhideWhenUsed/>
    <w:qFormat/>
    <w:rsid w:val="00E20E6D"/>
    <w:pPr>
      <w:keepNext/>
      <w:keepLines/>
      <w:numPr>
        <w:ilvl w:val="1"/>
        <w:numId w:val="1"/>
      </w:numPr>
      <w:spacing w:before="480" w:after="240"/>
      <w:outlineLvl w:val="1"/>
    </w:pPr>
    <w:rPr>
      <w:rFonts w:eastAsiaTheme="majorEastAsia" w:cstheme="majorBidi"/>
      <w:b/>
      <w:bCs/>
      <w:caps/>
      <w:sz w:val="24"/>
      <w:szCs w:val="26"/>
    </w:rPr>
  </w:style>
  <w:style w:type="paragraph" w:styleId="Heading3">
    <w:name w:val="heading 3"/>
    <w:aliases w:val="FOGLIANO_Titolo 3,Heading 3 Char,Sotto-oggetto,ITTHEADER3,§1.1.1.,§1.1.1.1,§1.1.1.2,§1.1.1.3,§1.1.1.4,§1.1.1.5,§1.1.1.6,§1.1.1.7,§1.1.1.8,§1.1.1.9,¤1.1.1.,§1.1.1.10,§1.1.1.11,§1.1.1.12,§1.1.1.13,§1.1.1.14,§1.1.1.15,§1.1.1.16,§1.1.1.17,Section"/>
    <w:basedOn w:val="Normal"/>
    <w:next w:val="Normal"/>
    <w:link w:val="Heading3Char1"/>
    <w:uiPriority w:val="9"/>
    <w:unhideWhenUsed/>
    <w:qFormat/>
    <w:rsid w:val="001D6625"/>
    <w:pPr>
      <w:keepNext/>
      <w:keepLines/>
      <w:numPr>
        <w:ilvl w:val="2"/>
        <w:numId w:val="1"/>
      </w:numPr>
      <w:spacing w:before="240" w:after="240"/>
      <w:outlineLvl w:val="2"/>
    </w:pPr>
    <w:rPr>
      <w:rFonts w:eastAsiaTheme="majorEastAsia" w:cstheme="majorBidi"/>
      <w:b/>
      <w:bCs/>
    </w:rPr>
  </w:style>
  <w:style w:type="paragraph" w:styleId="Heading4">
    <w:name w:val="heading 4"/>
    <w:aliases w:val="FOGLIANO_Titolo 4,Map Title,ACSN4,-PZ4,Titolo 4 Carattere Carattere,ACSN4 Carattere1 Carattere,-PZ4 Carattere1 Carattere,-PZ4 Carattere Carattere1 Carattere,ACSN4 Carattere Carattere Carattere,Map Title1 Carattere Carattere,Map Title1,4-ITEC"/>
    <w:basedOn w:val="Normal"/>
    <w:next w:val="Normal"/>
    <w:link w:val="Heading4Char"/>
    <w:uiPriority w:val="9"/>
    <w:unhideWhenUsed/>
    <w:qFormat/>
    <w:rsid w:val="00E20E6D"/>
    <w:pPr>
      <w:keepNext/>
      <w:keepLines/>
      <w:numPr>
        <w:ilvl w:val="3"/>
        <w:numId w:val="1"/>
      </w:numPr>
      <w:spacing w:before="120"/>
      <w:ind w:left="862" w:hanging="862"/>
      <w:outlineLvl w:val="3"/>
    </w:pPr>
    <w:rPr>
      <w:rFonts w:eastAsiaTheme="majorEastAsia" w:cstheme="majorBidi"/>
      <w:bCs/>
      <w:i/>
      <w:iCs/>
    </w:rPr>
  </w:style>
  <w:style w:type="paragraph" w:styleId="Heading5">
    <w:name w:val="heading 5"/>
    <w:aliases w:val="Didascal,IN,Didascalia Carattere Carattere Carattere Carattere Carattere Carattere,Map Carattere Carattere Carattere1, Carattere,Heading 5 - Mandatory requirements,H5,paragraphe[2],Paspastyle 5"/>
    <w:basedOn w:val="Normal"/>
    <w:next w:val="Normal"/>
    <w:link w:val="Heading5Char"/>
    <w:uiPriority w:val="9"/>
    <w:unhideWhenUsed/>
    <w:qFormat/>
    <w:rsid w:val="00174F99"/>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aliases w:val="hd6,h6,Appendix Titre 1,H6,paragraphe[3],Appendix - Titre 2,Appendix - titre 2,Margin Note,sub-dash,sd,5,Carattere2,H61,H62,H63,H64,H65,H66,H67,H68,H69,H610,H611,H612,H613,H614,H615,H616,H617,H618,H619,H621,H631,H641,H651,H661,H671"/>
    <w:basedOn w:val="Normal"/>
    <w:next w:val="Normal"/>
    <w:link w:val="Heading6Char"/>
    <w:uiPriority w:val="9"/>
    <w:unhideWhenUsed/>
    <w:qFormat/>
    <w:rsid w:val="00174F99"/>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aliases w:val="Appendix Titre 2,liste1,liste[1],Titolo 7 Carattere Carattere"/>
    <w:basedOn w:val="Normal"/>
    <w:next w:val="Normal"/>
    <w:link w:val="Heading7Char"/>
    <w:uiPriority w:val="9"/>
    <w:unhideWhenUsed/>
    <w:qFormat/>
    <w:rsid w:val="00174F99"/>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Appendix Titre 3,liste 2,liste[2]"/>
    <w:basedOn w:val="Normal"/>
    <w:next w:val="Normal"/>
    <w:link w:val="Heading8Char"/>
    <w:uiPriority w:val="9"/>
    <w:unhideWhenUsed/>
    <w:qFormat/>
    <w:rsid w:val="00174F99"/>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aliases w:val="Appendix Titre 4,liste[3],Titolo 10,TITOLO_ALL"/>
    <w:basedOn w:val="Normal"/>
    <w:next w:val="Normal"/>
    <w:link w:val="Heading9Char"/>
    <w:uiPriority w:val="9"/>
    <w:unhideWhenUsed/>
    <w:qFormat/>
    <w:rsid w:val="00174F99"/>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FOGLIANO_Titolo 1 Char,PAULLESE-Titolo 1 Char,shman Char,Part Char,Paragrafo Char,TITOLO PARAGRAFO Char,ARTÍCULO Char,Titolo 0 Char,Paragrafo1 Char,1 Titolo 1 Char,Tit_std1 Char,1 ghost Char,g Char,Prezzi Char,Pr Char,NORMALE Char,H1 Char"/>
    <w:basedOn w:val="DefaultParagraphFont"/>
    <w:link w:val="Heading1"/>
    <w:uiPriority w:val="9"/>
    <w:rsid w:val="00E20E6D"/>
    <w:rPr>
      <w:rFonts w:ascii="Swis721 Cn BT" w:eastAsia="Times New Roman" w:hAnsi="Swis721 Cn BT" w:cs="Times New Roman"/>
      <w:b/>
      <w:bCs/>
      <w:caps/>
      <w:kern w:val="36"/>
      <w:sz w:val="28"/>
      <w:szCs w:val="48"/>
      <w:lang w:eastAsia="it-IT"/>
    </w:rPr>
  </w:style>
  <w:style w:type="character" w:customStyle="1" w:styleId="Heading2Char">
    <w:name w:val="Heading 2 Char"/>
    <w:aliases w:val="FOGLIANO_Titolo 2 Char,PAULLESE-Titolo2 Char,Chapter Title Char,H2 Char,Attribute Heading 2 Char,TIT2 Char,Titolo 21 Char,Titolo 2 Carattere Carattere Carattere Char,Titolo 2 Carattere Carattere Carattere Carattere Char,TITOLO 2 Char"/>
    <w:basedOn w:val="DefaultParagraphFont"/>
    <w:link w:val="Heading2"/>
    <w:uiPriority w:val="9"/>
    <w:rsid w:val="00E20E6D"/>
    <w:rPr>
      <w:rFonts w:ascii="Swis721 Cn BT" w:eastAsiaTheme="majorEastAsia" w:hAnsi="Swis721 Cn BT" w:cstheme="majorBidi"/>
      <w:b/>
      <w:bCs/>
      <w:caps/>
      <w:sz w:val="24"/>
      <w:szCs w:val="26"/>
    </w:rPr>
  </w:style>
  <w:style w:type="character" w:customStyle="1" w:styleId="Heading3Char1">
    <w:name w:val="Heading 3 Char1"/>
    <w:aliases w:val="FOGLIANO_Titolo 3 Char,Heading 3 Char Char,Sotto-oggetto Char,ITTHEADER3 Char,§1.1.1. Char,§1.1.1.1 Char,§1.1.1.2 Char,§1.1.1.3 Char,§1.1.1.4 Char,§1.1.1.5 Char,§1.1.1.6 Char,§1.1.1.7 Char,§1.1.1.8 Char,§1.1.1.9 Char,¤1.1.1. Char"/>
    <w:basedOn w:val="DefaultParagraphFont"/>
    <w:link w:val="Heading3"/>
    <w:uiPriority w:val="9"/>
    <w:rsid w:val="001D6625"/>
    <w:rPr>
      <w:rFonts w:ascii="Swis721 Cn BT" w:eastAsiaTheme="majorEastAsia" w:hAnsi="Swis721 Cn BT" w:cstheme="majorBidi"/>
      <w:b/>
      <w:bCs/>
    </w:rPr>
  </w:style>
  <w:style w:type="character" w:customStyle="1" w:styleId="Heading4Char">
    <w:name w:val="Heading 4 Char"/>
    <w:aliases w:val="FOGLIANO_Titolo 4 Char,Map Title Char,ACSN4 Char,-PZ4 Char,Titolo 4 Carattere Carattere Char,ACSN4 Carattere1 Carattere Char,-PZ4 Carattere1 Carattere Char,-PZ4 Carattere Carattere1 Carattere Char,ACSN4 Carattere Carattere Carattere Char"/>
    <w:basedOn w:val="DefaultParagraphFont"/>
    <w:link w:val="Heading4"/>
    <w:uiPriority w:val="9"/>
    <w:rsid w:val="00E20E6D"/>
    <w:rPr>
      <w:rFonts w:ascii="Swis721 Cn BT" w:eastAsiaTheme="majorEastAsia" w:hAnsi="Swis721 Cn BT" w:cstheme="majorBidi"/>
      <w:bCs/>
      <w:i/>
      <w:iCs/>
    </w:rPr>
  </w:style>
  <w:style w:type="character" w:customStyle="1" w:styleId="Heading5Char">
    <w:name w:val="Heading 5 Char"/>
    <w:aliases w:val="Didascal Char,IN Char,Didascalia Carattere Carattere Carattere Carattere Carattere Carattere Char,Map Carattere Carattere Carattere1 Char, Carattere Char,Heading 5 - Mandatory requirements Char,H5 Char,paragraphe[2] Char,Paspastyle 5 Char"/>
    <w:basedOn w:val="DefaultParagraphFont"/>
    <w:link w:val="Heading5"/>
    <w:uiPriority w:val="9"/>
    <w:semiHidden/>
    <w:rsid w:val="00174F99"/>
    <w:rPr>
      <w:rFonts w:asciiTheme="majorHAnsi" w:eastAsiaTheme="majorEastAsia" w:hAnsiTheme="majorHAnsi" w:cstheme="majorBidi"/>
      <w:color w:val="243F60" w:themeColor="accent1" w:themeShade="7F"/>
    </w:rPr>
  </w:style>
  <w:style w:type="character" w:customStyle="1" w:styleId="Heading6Char">
    <w:name w:val="Heading 6 Char"/>
    <w:aliases w:val="hd6 Char,h6 Char,Appendix Titre 1 Char,H6 Char,paragraphe[3] Char,Appendix - Titre 2 Char,Appendix - titre 2 Char,Margin Note Char,sub-dash Char,sd Char,5 Char,Carattere2 Char,H61 Char,H62 Char,H63 Char,H64 Char,H65 Char,H66 Char,H67 Char"/>
    <w:basedOn w:val="DefaultParagraphFont"/>
    <w:link w:val="Heading6"/>
    <w:uiPriority w:val="9"/>
    <w:semiHidden/>
    <w:rsid w:val="00174F99"/>
    <w:rPr>
      <w:rFonts w:asciiTheme="majorHAnsi" w:eastAsiaTheme="majorEastAsia" w:hAnsiTheme="majorHAnsi" w:cstheme="majorBidi"/>
      <w:i/>
      <w:iCs/>
      <w:color w:val="243F60" w:themeColor="accent1" w:themeShade="7F"/>
    </w:rPr>
  </w:style>
  <w:style w:type="character" w:customStyle="1" w:styleId="Heading7Char">
    <w:name w:val="Heading 7 Char"/>
    <w:aliases w:val="Appendix Titre 2 Char,liste1 Char,liste[1] Char,Titolo 7 Carattere Carattere Char"/>
    <w:basedOn w:val="DefaultParagraphFont"/>
    <w:link w:val="Heading7"/>
    <w:uiPriority w:val="9"/>
    <w:semiHidden/>
    <w:rsid w:val="00174F99"/>
    <w:rPr>
      <w:rFonts w:asciiTheme="majorHAnsi" w:eastAsiaTheme="majorEastAsia" w:hAnsiTheme="majorHAnsi" w:cstheme="majorBidi"/>
      <w:i/>
      <w:iCs/>
      <w:color w:val="404040" w:themeColor="text1" w:themeTint="BF"/>
    </w:rPr>
  </w:style>
  <w:style w:type="character" w:customStyle="1" w:styleId="Heading8Char">
    <w:name w:val="Heading 8 Char"/>
    <w:aliases w:val="Appendix Titre 3 Char,liste 2 Char,liste[2] Char"/>
    <w:basedOn w:val="DefaultParagraphFont"/>
    <w:link w:val="Heading8"/>
    <w:uiPriority w:val="9"/>
    <w:semiHidden/>
    <w:rsid w:val="00174F99"/>
    <w:rPr>
      <w:rFonts w:asciiTheme="majorHAnsi" w:eastAsiaTheme="majorEastAsia" w:hAnsiTheme="majorHAnsi" w:cstheme="majorBidi"/>
      <w:color w:val="404040" w:themeColor="text1" w:themeTint="BF"/>
      <w:szCs w:val="20"/>
    </w:rPr>
  </w:style>
  <w:style w:type="character" w:customStyle="1" w:styleId="Heading9Char">
    <w:name w:val="Heading 9 Char"/>
    <w:aliases w:val="Appendix Titre 4 Char,liste[3] Char,Titolo 10 Char,TITOLO_ALL Char"/>
    <w:basedOn w:val="DefaultParagraphFont"/>
    <w:link w:val="Heading9"/>
    <w:uiPriority w:val="9"/>
    <w:semiHidden/>
    <w:rsid w:val="00174F99"/>
    <w:rPr>
      <w:rFonts w:asciiTheme="majorHAnsi" w:eastAsiaTheme="majorEastAsia" w:hAnsiTheme="majorHAnsi" w:cstheme="majorBidi"/>
      <w:i/>
      <w:iCs/>
      <w:color w:val="404040" w:themeColor="text1" w:themeTint="BF"/>
      <w:szCs w:val="20"/>
    </w:rPr>
  </w:style>
  <w:style w:type="paragraph" w:styleId="Title">
    <w:name w:val="Title"/>
    <w:basedOn w:val="Normal"/>
    <w:next w:val="Normal"/>
    <w:link w:val="TitleChar"/>
    <w:uiPriority w:val="10"/>
    <w:qFormat/>
    <w:rsid w:val="00174F99"/>
    <w:pPr>
      <w:pBdr>
        <w:bottom w:val="single" w:sz="8" w:space="4" w:color="4F81BD" w:themeColor="accent1"/>
      </w:pBdr>
      <w:spacing w:after="300" w:line="240" w:lineRule="auto"/>
      <w:contextualSpacing/>
      <w:jc w:val="left"/>
    </w:pPr>
    <w:rPr>
      <w:rFonts w:asciiTheme="majorHAnsi" w:eastAsiaTheme="majorEastAsia" w:hAnsiTheme="majorHAnsi" w:cstheme="majorBidi"/>
      <w:color w:val="17365D" w:themeColor="text2" w:themeShade="BF"/>
      <w:spacing w:val="5"/>
      <w:kern w:val="28"/>
      <w:sz w:val="52"/>
      <w:szCs w:val="52"/>
      <w:lang w:eastAsia="it-IT"/>
    </w:rPr>
  </w:style>
  <w:style w:type="character" w:customStyle="1" w:styleId="TitleChar">
    <w:name w:val="Title Char"/>
    <w:basedOn w:val="DefaultParagraphFont"/>
    <w:link w:val="Title"/>
    <w:uiPriority w:val="10"/>
    <w:rsid w:val="00174F99"/>
    <w:rPr>
      <w:rFonts w:asciiTheme="majorHAnsi" w:eastAsiaTheme="majorEastAsia" w:hAnsiTheme="majorHAnsi" w:cstheme="majorBidi"/>
      <w:color w:val="17365D" w:themeColor="text2" w:themeShade="BF"/>
      <w:spacing w:val="5"/>
      <w:kern w:val="28"/>
      <w:sz w:val="52"/>
      <w:szCs w:val="52"/>
      <w:lang w:eastAsia="it-IT"/>
    </w:rPr>
  </w:style>
  <w:style w:type="paragraph" w:styleId="Subtitle">
    <w:name w:val="Subtitle"/>
    <w:basedOn w:val="Normal"/>
    <w:next w:val="Normal"/>
    <w:link w:val="SubtitleChar"/>
    <w:uiPriority w:val="11"/>
    <w:qFormat/>
    <w:rsid w:val="00174F99"/>
    <w:pPr>
      <w:numPr>
        <w:ilvl w:val="1"/>
      </w:numPr>
      <w:ind w:left="709"/>
      <w:jc w:val="left"/>
    </w:pPr>
    <w:rPr>
      <w:rFonts w:asciiTheme="majorHAnsi" w:eastAsiaTheme="majorEastAsia" w:hAnsiTheme="majorHAnsi" w:cstheme="majorBidi"/>
      <w:i/>
      <w:iCs/>
      <w:color w:val="4F81BD" w:themeColor="accent1"/>
      <w:spacing w:val="15"/>
      <w:szCs w:val="24"/>
      <w:lang w:eastAsia="it-IT"/>
    </w:rPr>
  </w:style>
  <w:style w:type="character" w:customStyle="1" w:styleId="SubtitleChar">
    <w:name w:val="Subtitle Char"/>
    <w:basedOn w:val="DefaultParagraphFont"/>
    <w:link w:val="Subtitle"/>
    <w:uiPriority w:val="11"/>
    <w:rsid w:val="00174F99"/>
    <w:rPr>
      <w:rFonts w:asciiTheme="majorHAnsi" w:eastAsiaTheme="majorEastAsia" w:hAnsiTheme="majorHAnsi" w:cstheme="majorBidi"/>
      <w:i/>
      <w:iCs/>
      <w:color w:val="4F81BD" w:themeColor="accent1"/>
      <w:spacing w:val="15"/>
      <w:sz w:val="24"/>
      <w:szCs w:val="24"/>
      <w:lang w:eastAsia="it-IT"/>
    </w:rPr>
  </w:style>
  <w:style w:type="paragraph" w:styleId="BalloonText">
    <w:name w:val="Balloon Text"/>
    <w:basedOn w:val="Normal"/>
    <w:link w:val="BalloonTextChar"/>
    <w:uiPriority w:val="99"/>
    <w:semiHidden/>
    <w:unhideWhenUsed/>
    <w:rsid w:val="00174F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4F99"/>
    <w:rPr>
      <w:rFonts w:ascii="Tahoma" w:hAnsi="Tahoma" w:cs="Tahoma"/>
      <w:sz w:val="16"/>
      <w:szCs w:val="16"/>
    </w:rPr>
  </w:style>
  <w:style w:type="paragraph" w:styleId="Header">
    <w:name w:val="header"/>
    <w:basedOn w:val="Normal"/>
    <w:link w:val="HeaderChar"/>
    <w:uiPriority w:val="99"/>
    <w:unhideWhenUsed/>
    <w:rsid w:val="00174F99"/>
    <w:pPr>
      <w:tabs>
        <w:tab w:val="center" w:pos="4819"/>
        <w:tab w:val="right" w:pos="9638"/>
      </w:tabs>
      <w:spacing w:after="0" w:line="240" w:lineRule="auto"/>
    </w:pPr>
  </w:style>
  <w:style w:type="character" w:customStyle="1" w:styleId="HeaderChar">
    <w:name w:val="Header Char"/>
    <w:basedOn w:val="DefaultParagraphFont"/>
    <w:link w:val="Header"/>
    <w:uiPriority w:val="99"/>
    <w:rsid w:val="00174F99"/>
    <w:rPr>
      <w:rFonts w:ascii="Swis721 Cn BT" w:hAnsi="Swis721 Cn BT"/>
    </w:rPr>
  </w:style>
  <w:style w:type="paragraph" w:styleId="Footer">
    <w:name w:val="footer"/>
    <w:basedOn w:val="Normal"/>
    <w:link w:val="FooterChar"/>
    <w:uiPriority w:val="99"/>
    <w:unhideWhenUsed/>
    <w:rsid w:val="00174F99"/>
    <w:pPr>
      <w:tabs>
        <w:tab w:val="center" w:pos="4819"/>
        <w:tab w:val="right" w:pos="9638"/>
      </w:tabs>
      <w:spacing w:after="0" w:line="240" w:lineRule="auto"/>
    </w:pPr>
  </w:style>
  <w:style w:type="character" w:customStyle="1" w:styleId="FooterChar">
    <w:name w:val="Footer Char"/>
    <w:basedOn w:val="DefaultParagraphFont"/>
    <w:link w:val="Footer"/>
    <w:uiPriority w:val="99"/>
    <w:rsid w:val="00174F99"/>
    <w:rPr>
      <w:rFonts w:ascii="Swis721 Cn BT" w:hAnsi="Swis721 Cn BT"/>
    </w:rPr>
  </w:style>
  <w:style w:type="paragraph" w:styleId="TOCHeading">
    <w:name w:val="TOC Heading"/>
    <w:basedOn w:val="Heading1"/>
    <w:next w:val="Normal"/>
    <w:uiPriority w:val="39"/>
    <w:unhideWhenUsed/>
    <w:qFormat/>
    <w:rsid w:val="00B46CE2"/>
    <w:pPr>
      <w:keepLines/>
      <w:numPr>
        <w:numId w:val="0"/>
      </w:numPr>
      <w:spacing w:before="480" w:after="0" w:line="276" w:lineRule="auto"/>
      <w:outlineLvl w:val="9"/>
    </w:pPr>
    <w:rPr>
      <w:rFonts w:asciiTheme="majorHAnsi" w:eastAsiaTheme="majorEastAsia" w:hAnsiTheme="majorHAnsi" w:cstheme="majorBidi"/>
      <w:color w:val="365F91" w:themeColor="accent1" w:themeShade="BF"/>
      <w:kern w:val="0"/>
      <w:szCs w:val="28"/>
    </w:rPr>
  </w:style>
  <w:style w:type="paragraph" w:styleId="TOC1">
    <w:name w:val="toc 1"/>
    <w:basedOn w:val="Normal"/>
    <w:next w:val="Normal"/>
    <w:autoRedefine/>
    <w:uiPriority w:val="39"/>
    <w:unhideWhenUsed/>
    <w:qFormat/>
    <w:rsid w:val="00D6523C"/>
    <w:pPr>
      <w:tabs>
        <w:tab w:val="left" w:pos="1276"/>
        <w:tab w:val="right" w:leader="dot" w:pos="9639"/>
      </w:tabs>
      <w:spacing w:before="240" w:after="100"/>
    </w:pPr>
    <w:rPr>
      <w:b/>
      <w:noProof/>
    </w:rPr>
  </w:style>
  <w:style w:type="paragraph" w:styleId="TOC2">
    <w:name w:val="toc 2"/>
    <w:basedOn w:val="Normal"/>
    <w:next w:val="Normal"/>
    <w:autoRedefine/>
    <w:uiPriority w:val="39"/>
    <w:unhideWhenUsed/>
    <w:qFormat/>
    <w:rsid w:val="001749D7"/>
    <w:pPr>
      <w:tabs>
        <w:tab w:val="left" w:pos="1418"/>
        <w:tab w:val="right" w:leader="dot" w:pos="9639"/>
      </w:tabs>
      <w:spacing w:before="120" w:after="0"/>
    </w:pPr>
    <w:rPr>
      <w:noProof/>
    </w:rPr>
  </w:style>
  <w:style w:type="paragraph" w:styleId="TOC3">
    <w:name w:val="toc 3"/>
    <w:basedOn w:val="Normal"/>
    <w:next w:val="Normal"/>
    <w:autoRedefine/>
    <w:uiPriority w:val="39"/>
    <w:unhideWhenUsed/>
    <w:qFormat/>
    <w:rsid w:val="001749D7"/>
    <w:pPr>
      <w:tabs>
        <w:tab w:val="left" w:pos="1701"/>
        <w:tab w:val="right" w:leader="dot" w:pos="9639"/>
      </w:tabs>
      <w:spacing w:after="0"/>
    </w:pPr>
    <w:rPr>
      <w:noProof/>
    </w:rPr>
  </w:style>
  <w:style w:type="character" w:styleId="Hyperlink">
    <w:name w:val="Hyperlink"/>
    <w:basedOn w:val="DefaultParagraphFont"/>
    <w:uiPriority w:val="99"/>
    <w:unhideWhenUsed/>
    <w:rsid w:val="000505F1"/>
    <w:rPr>
      <w:color w:val="0000FF" w:themeColor="hyperlink"/>
      <w:u w:val="single"/>
    </w:rPr>
  </w:style>
  <w:style w:type="paragraph" w:customStyle="1" w:styleId="PIEDIPAGINA">
    <w:name w:val="PIEDIPAGINA"/>
    <w:basedOn w:val="Normal"/>
    <w:link w:val="PIEDIPAGINACarattere"/>
    <w:qFormat/>
    <w:rsid w:val="001749D7"/>
    <w:pPr>
      <w:tabs>
        <w:tab w:val="left" w:pos="2835"/>
        <w:tab w:val="right" w:pos="9639"/>
      </w:tabs>
      <w:spacing w:after="0" w:line="240" w:lineRule="auto"/>
      <w:jc w:val="left"/>
    </w:pPr>
    <w:rPr>
      <w:color w:val="808080" w:themeColor="background1" w:themeShade="80"/>
      <w:sz w:val="18"/>
      <w:szCs w:val="18"/>
    </w:rPr>
  </w:style>
  <w:style w:type="paragraph" w:customStyle="1" w:styleId="INTESTAZIONE">
    <w:name w:val="INTESTAZIONE"/>
    <w:basedOn w:val="Header"/>
    <w:link w:val="INTESTAZIONECarattere"/>
    <w:qFormat/>
    <w:rsid w:val="001749D7"/>
    <w:pPr>
      <w:jc w:val="right"/>
    </w:pPr>
    <w:rPr>
      <w:color w:val="808080" w:themeColor="background1" w:themeShade="80"/>
    </w:rPr>
  </w:style>
  <w:style w:type="character" w:customStyle="1" w:styleId="PIEDIPAGINACarattere">
    <w:name w:val="PIEDIPAGINA Carattere"/>
    <w:basedOn w:val="DefaultParagraphFont"/>
    <w:link w:val="PIEDIPAGINA"/>
    <w:rsid w:val="001749D7"/>
    <w:rPr>
      <w:rFonts w:ascii="Swis721 Cn BT" w:hAnsi="Swis721 Cn BT"/>
      <w:color w:val="808080" w:themeColor="background1" w:themeShade="80"/>
      <w:sz w:val="18"/>
      <w:szCs w:val="18"/>
    </w:rPr>
  </w:style>
  <w:style w:type="paragraph" w:styleId="Caption">
    <w:name w:val="caption"/>
    <w:aliases w:val="FOGLIANO,Carattere,Carattere Carattere Carattere,Carattere Carattere,Carattere Carattere Carattere Carattere Carattere Carattere Carattere Carattere Carattere Carattere,Didascalia-tabelle,Didascalia Carattere1,Didascalia Carattere Carattere"/>
    <w:basedOn w:val="Normal"/>
    <w:next w:val="Normal"/>
    <w:link w:val="CaptionChar"/>
    <w:qFormat/>
    <w:rsid w:val="00877F70"/>
    <w:pPr>
      <w:spacing w:after="240"/>
    </w:pPr>
    <w:rPr>
      <w:rFonts w:ascii="Arial" w:eastAsia="Times New Roman" w:hAnsi="Arial" w:cs="Times New Roman"/>
      <w:szCs w:val="20"/>
      <w:lang w:eastAsia="it-IT"/>
    </w:rPr>
  </w:style>
  <w:style w:type="character" w:customStyle="1" w:styleId="INTESTAZIONECarattere">
    <w:name w:val="INTESTAZIONE Carattere"/>
    <w:basedOn w:val="HeaderChar"/>
    <w:link w:val="INTESTAZIONE"/>
    <w:rsid w:val="001749D7"/>
    <w:rPr>
      <w:rFonts w:ascii="Swis721 Cn BT" w:hAnsi="Swis721 Cn BT"/>
      <w:color w:val="808080" w:themeColor="background1" w:themeShade="80"/>
      <w:sz w:val="20"/>
    </w:rPr>
  </w:style>
  <w:style w:type="character" w:customStyle="1" w:styleId="CaptionChar">
    <w:name w:val="Caption Char"/>
    <w:aliases w:val="FOGLIANO Char,Carattere Char,Carattere Carattere Carattere Char,Carattere Carattere Char,Carattere Carattere Carattere Carattere Carattere Carattere Carattere Carattere Carattere Carattere Char,Didascalia-tabelle Char"/>
    <w:link w:val="Caption"/>
    <w:rsid w:val="00877F70"/>
    <w:rPr>
      <w:rFonts w:ascii="Arial" w:eastAsia="Times New Roman" w:hAnsi="Arial" w:cs="Times New Roman"/>
      <w:szCs w:val="20"/>
      <w:lang w:eastAsia="it-IT"/>
    </w:rPr>
  </w:style>
  <w:style w:type="paragraph" w:customStyle="1" w:styleId="Fotografie">
    <w:name w:val="Fotografie"/>
    <w:basedOn w:val="Normal"/>
    <w:link w:val="FotografieCarattere"/>
    <w:qFormat/>
    <w:rsid w:val="001749D7"/>
    <w:pPr>
      <w:jc w:val="right"/>
    </w:pPr>
  </w:style>
  <w:style w:type="paragraph" w:customStyle="1" w:styleId="CARTIGLIO">
    <w:name w:val="CARTIGLIO"/>
    <w:basedOn w:val="Normal"/>
    <w:link w:val="CARTIGLIOCarattere"/>
    <w:qFormat/>
    <w:rsid w:val="00DB6A03"/>
    <w:pPr>
      <w:spacing w:after="0" w:line="240" w:lineRule="auto"/>
    </w:pPr>
    <w:rPr>
      <w:sz w:val="18"/>
    </w:rPr>
  </w:style>
  <w:style w:type="character" w:customStyle="1" w:styleId="FotografieCarattere">
    <w:name w:val="Fotografie Carattere"/>
    <w:basedOn w:val="DefaultParagraphFont"/>
    <w:link w:val="Fotografie"/>
    <w:rsid w:val="001749D7"/>
    <w:rPr>
      <w:rFonts w:ascii="Swis721 Cn BT" w:hAnsi="Swis721 Cn BT"/>
      <w:sz w:val="20"/>
    </w:rPr>
  </w:style>
  <w:style w:type="character" w:customStyle="1" w:styleId="CARTIGLIOCarattere">
    <w:name w:val="CARTIGLIO Carattere"/>
    <w:basedOn w:val="DefaultParagraphFont"/>
    <w:link w:val="CARTIGLIO"/>
    <w:rsid w:val="00DB6A03"/>
    <w:rPr>
      <w:rFonts w:ascii="Swis721 Cn BT" w:hAnsi="Swis721 Cn BT"/>
      <w:sz w:val="18"/>
    </w:rPr>
  </w:style>
  <w:style w:type="paragraph" w:styleId="ListParagraph">
    <w:name w:val="List Paragraph"/>
    <w:aliases w:val="titolo 2,puntato,Elenco puntato,Titolo_1"/>
    <w:basedOn w:val="Normal"/>
    <w:link w:val="ListParagraphChar"/>
    <w:uiPriority w:val="34"/>
    <w:qFormat/>
    <w:rsid w:val="00AF4E82"/>
    <w:pPr>
      <w:ind w:left="720"/>
      <w:contextualSpacing/>
    </w:pPr>
  </w:style>
  <w:style w:type="character" w:customStyle="1" w:styleId="DidascaliaCarattere2">
    <w:name w:val="Didascalia Carattere2"/>
    <w:aliases w:val="Didascalia Carattere1 Carattere,Didascalia Carattere Carattere Carattere,Didascalia Carattere1 Carattere Carattere Carattere,Didascalia Carattere Carattere1 Carattere Carattere Carattere,Didascalia Carattere Carattere1"/>
    <w:rsid w:val="00D6523C"/>
    <w:rPr>
      <w:rFonts w:ascii="Arial" w:hAnsi="Arial"/>
      <w:bCs/>
      <w:i/>
      <w:sz w:val="18"/>
    </w:rPr>
  </w:style>
  <w:style w:type="table" w:styleId="TableGrid">
    <w:name w:val="Table Grid"/>
    <w:basedOn w:val="TableNormal"/>
    <w:uiPriority w:val="39"/>
    <w:rsid w:val="003A6C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C111D"/>
    <w:rPr>
      <w:sz w:val="16"/>
      <w:szCs w:val="16"/>
    </w:rPr>
  </w:style>
  <w:style w:type="paragraph" w:styleId="CommentText">
    <w:name w:val="annotation text"/>
    <w:basedOn w:val="Normal"/>
    <w:link w:val="CommentTextChar"/>
    <w:uiPriority w:val="99"/>
    <w:semiHidden/>
    <w:unhideWhenUsed/>
    <w:rsid w:val="00FC111D"/>
    <w:pPr>
      <w:spacing w:line="240" w:lineRule="auto"/>
    </w:pPr>
    <w:rPr>
      <w:sz w:val="20"/>
      <w:szCs w:val="20"/>
    </w:rPr>
  </w:style>
  <w:style w:type="character" w:customStyle="1" w:styleId="CommentTextChar">
    <w:name w:val="Comment Text Char"/>
    <w:basedOn w:val="DefaultParagraphFont"/>
    <w:link w:val="CommentText"/>
    <w:uiPriority w:val="99"/>
    <w:semiHidden/>
    <w:rsid w:val="00FC111D"/>
    <w:rPr>
      <w:rFonts w:ascii="Swis721 Cn BT" w:hAnsi="Swis721 Cn BT"/>
      <w:sz w:val="20"/>
      <w:szCs w:val="20"/>
    </w:rPr>
  </w:style>
  <w:style w:type="paragraph" w:styleId="CommentSubject">
    <w:name w:val="annotation subject"/>
    <w:basedOn w:val="CommentText"/>
    <w:next w:val="CommentText"/>
    <w:link w:val="CommentSubjectChar"/>
    <w:uiPriority w:val="99"/>
    <w:semiHidden/>
    <w:unhideWhenUsed/>
    <w:rsid w:val="00FC111D"/>
    <w:rPr>
      <w:b/>
      <w:bCs/>
    </w:rPr>
  </w:style>
  <w:style w:type="character" w:customStyle="1" w:styleId="CommentSubjectChar">
    <w:name w:val="Comment Subject Char"/>
    <w:basedOn w:val="CommentTextChar"/>
    <w:link w:val="CommentSubject"/>
    <w:uiPriority w:val="99"/>
    <w:semiHidden/>
    <w:rsid w:val="00FC111D"/>
    <w:rPr>
      <w:rFonts w:ascii="Swis721 Cn BT" w:hAnsi="Swis721 Cn BT"/>
      <w:b/>
      <w:bCs/>
      <w:sz w:val="20"/>
      <w:szCs w:val="20"/>
    </w:rPr>
  </w:style>
  <w:style w:type="paragraph" w:styleId="Revision">
    <w:name w:val="Revision"/>
    <w:hidden/>
    <w:uiPriority w:val="99"/>
    <w:semiHidden/>
    <w:rsid w:val="001F34D6"/>
    <w:pPr>
      <w:spacing w:after="0" w:line="240" w:lineRule="auto"/>
    </w:pPr>
    <w:rPr>
      <w:rFonts w:ascii="Swis721 Cn BT" w:hAnsi="Swis721 Cn BT"/>
      <w:sz w:val="24"/>
    </w:rPr>
  </w:style>
  <w:style w:type="paragraph" w:styleId="DocumentMap">
    <w:name w:val="Document Map"/>
    <w:basedOn w:val="Normal"/>
    <w:link w:val="DocumentMapChar"/>
    <w:uiPriority w:val="99"/>
    <w:semiHidden/>
    <w:unhideWhenUsed/>
    <w:rsid w:val="00E806AA"/>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E806AA"/>
    <w:rPr>
      <w:rFonts w:ascii="Tahoma" w:hAnsi="Tahoma" w:cs="Tahoma"/>
      <w:sz w:val="16"/>
      <w:szCs w:val="16"/>
    </w:rPr>
  </w:style>
  <w:style w:type="paragraph" w:styleId="FootnoteText">
    <w:name w:val="footnote text"/>
    <w:basedOn w:val="Normal"/>
    <w:link w:val="FootnoteTextChar"/>
    <w:uiPriority w:val="99"/>
    <w:semiHidden/>
    <w:unhideWhenUsed/>
    <w:rsid w:val="0058580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8580E"/>
    <w:rPr>
      <w:rFonts w:ascii="Swis721 Cn BT" w:hAnsi="Swis721 Cn BT"/>
      <w:sz w:val="20"/>
      <w:szCs w:val="20"/>
    </w:rPr>
  </w:style>
  <w:style w:type="character" w:styleId="FootnoteReference">
    <w:name w:val="footnote reference"/>
    <w:basedOn w:val="DefaultParagraphFont"/>
    <w:uiPriority w:val="99"/>
    <w:semiHidden/>
    <w:unhideWhenUsed/>
    <w:rsid w:val="0058580E"/>
    <w:rPr>
      <w:vertAlign w:val="superscript"/>
    </w:rPr>
  </w:style>
  <w:style w:type="character" w:customStyle="1" w:styleId="ListParagraphChar">
    <w:name w:val="List Paragraph Char"/>
    <w:aliases w:val="titolo 2 Char,puntato Char,Elenco puntato Char,Titolo_1 Char"/>
    <w:basedOn w:val="DefaultParagraphFont"/>
    <w:link w:val="ListParagraph"/>
    <w:uiPriority w:val="34"/>
    <w:locked/>
    <w:rsid w:val="004A21D7"/>
    <w:rPr>
      <w:rFonts w:ascii="Swis721 Cn BT" w:hAnsi="Swis721 Cn BT"/>
    </w:rPr>
  </w:style>
  <w:style w:type="table" w:styleId="PlainTable5">
    <w:name w:val="Plain Table 5"/>
    <w:basedOn w:val="TableNormal"/>
    <w:uiPriority w:val="45"/>
    <w:rsid w:val="008E557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laceholderText">
    <w:name w:val="Placeholder Text"/>
    <w:basedOn w:val="DefaultParagraphFont"/>
    <w:uiPriority w:val="99"/>
    <w:semiHidden/>
    <w:rsid w:val="00FD2B9B"/>
    <w:rPr>
      <w:color w:val="808080"/>
    </w:rPr>
  </w:style>
  <w:style w:type="paragraph" w:styleId="NoSpacing">
    <w:name w:val="No Spacing"/>
    <w:uiPriority w:val="1"/>
    <w:qFormat/>
    <w:rsid w:val="00451ABE"/>
    <w:pPr>
      <w:spacing w:after="0" w:line="240" w:lineRule="auto"/>
      <w:jc w:val="both"/>
    </w:pPr>
    <w:rPr>
      <w:rFonts w:ascii="Swis721 Cn BT" w:hAnsi="Swis721 Cn BT"/>
    </w:rPr>
  </w:style>
  <w:style w:type="table" w:customStyle="1" w:styleId="Grigliatabella1">
    <w:name w:val="Griglia tabella1"/>
    <w:basedOn w:val="TableNormal"/>
    <w:next w:val="TableGrid"/>
    <w:uiPriority w:val="39"/>
    <w:rsid w:val="00877F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TI-JLTTitolo5">
    <w:name w:val="3TI-JLT Titolo 5"/>
    <w:basedOn w:val="Normal"/>
    <w:next w:val="Normal"/>
    <w:qFormat/>
    <w:rsid w:val="00877F70"/>
    <w:pPr>
      <w:keepNext/>
      <w:tabs>
        <w:tab w:val="left" w:pos="-426"/>
        <w:tab w:val="left" w:pos="851"/>
      </w:tabs>
      <w:suppressAutoHyphens/>
      <w:outlineLvl w:val="4"/>
    </w:pPr>
    <w:rPr>
      <w:rFonts w:ascii="Tahoma" w:eastAsia="Times New Roman" w:hAnsi="Tahoma" w:cs="Tahoma"/>
      <w:bCs/>
      <w:iCs/>
      <w:noProof/>
      <w:sz w:val="20"/>
      <w:lang w:eastAsia="it-IT"/>
    </w:rPr>
  </w:style>
  <w:style w:type="paragraph" w:customStyle="1" w:styleId="3TI-JLTTitolo1">
    <w:name w:val="3TI-JLT Titolo 1"/>
    <w:basedOn w:val="Normal"/>
    <w:next w:val="Normal"/>
    <w:autoRedefine/>
    <w:qFormat/>
    <w:rsid w:val="00172A49"/>
    <w:pPr>
      <w:keepNext/>
      <w:pageBreakBefore/>
      <w:tabs>
        <w:tab w:val="left" w:pos="851"/>
      </w:tabs>
      <w:suppressAutoHyphens/>
      <w:outlineLvl w:val="0"/>
    </w:pPr>
    <w:rPr>
      <w:rFonts w:ascii="Arial" w:eastAsia="Times New Roman" w:hAnsi="Arial" w:cs="Times New Roman"/>
      <w:b/>
      <w:caps/>
      <w:noProof/>
      <w:sz w:val="24"/>
      <w:szCs w:val="20"/>
      <w:lang w:eastAsia="ar-SA"/>
    </w:rPr>
  </w:style>
  <w:style w:type="paragraph" w:customStyle="1" w:styleId="3TI-JLTTitolo2">
    <w:name w:val="3TI-JLT Titolo 2"/>
    <w:basedOn w:val="Normal"/>
    <w:next w:val="Normal"/>
    <w:qFormat/>
    <w:rsid w:val="00877F70"/>
    <w:pPr>
      <w:keepNext/>
      <w:tabs>
        <w:tab w:val="left" w:pos="-426"/>
        <w:tab w:val="left" w:pos="851"/>
      </w:tabs>
      <w:suppressAutoHyphens/>
      <w:spacing w:after="360"/>
      <w:outlineLvl w:val="1"/>
    </w:pPr>
    <w:rPr>
      <w:rFonts w:ascii="Arial" w:eastAsia="Times New Roman" w:hAnsi="Arial" w:cs="Times New Roman"/>
      <w:b/>
      <w:sz w:val="24"/>
      <w:szCs w:val="24"/>
      <w:lang w:eastAsia="ar-SA"/>
    </w:rPr>
  </w:style>
  <w:style w:type="paragraph" w:customStyle="1" w:styleId="3TI-JLTTitolo3">
    <w:name w:val="3TI-JLT Titolo 3"/>
    <w:basedOn w:val="Normal"/>
    <w:next w:val="Normal"/>
    <w:qFormat/>
    <w:rsid w:val="00877F70"/>
    <w:pPr>
      <w:keepNext/>
      <w:tabs>
        <w:tab w:val="left" w:pos="-426"/>
        <w:tab w:val="left" w:pos="851"/>
      </w:tabs>
      <w:suppressAutoHyphens/>
      <w:spacing w:after="240"/>
      <w:outlineLvl w:val="2"/>
    </w:pPr>
    <w:rPr>
      <w:rFonts w:ascii="Arial" w:eastAsia="Times New Roman" w:hAnsi="Arial" w:cs="Times New Roman"/>
      <w:i/>
      <w:noProof/>
      <w:sz w:val="24"/>
      <w:szCs w:val="24"/>
      <w:lang w:eastAsia="it-IT"/>
    </w:rPr>
  </w:style>
  <w:style w:type="paragraph" w:customStyle="1" w:styleId="3TI-JLTTitolo4">
    <w:name w:val="3TI-JLT Titolo 4"/>
    <w:basedOn w:val="Normal"/>
    <w:next w:val="Normal"/>
    <w:qFormat/>
    <w:rsid w:val="00877F70"/>
    <w:pPr>
      <w:keepNext/>
      <w:tabs>
        <w:tab w:val="left" w:pos="-426"/>
        <w:tab w:val="left" w:pos="851"/>
      </w:tabs>
      <w:suppressAutoHyphens/>
      <w:outlineLvl w:val="3"/>
    </w:pPr>
    <w:rPr>
      <w:rFonts w:ascii="Tahoma" w:eastAsia="Times New Roman" w:hAnsi="Tahoma" w:cs="Times New Roman"/>
      <w:lang w:eastAsia="it-IT"/>
    </w:rPr>
  </w:style>
  <w:style w:type="paragraph" w:customStyle="1" w:styleId="3TI-JLTTitolo6">
    <w:name w:val="3TI-JLT Titolo 6"/>
    <w:basedOn w:val="Normal"/>
    <w:next w:val="Normal"/>
    <w:rsid w:val="00877F70"/>
    <w:pPr>
      <w:keepNext/>
      <w:tabs>
        <w:tab w:val="left" w:pos="-426"/>
        <w:tab w:val="left" w:pos="851"/>
      </w:tabs>
      <w:suppressAutoHyphens/>
      <w:outlineLvl w:val="5"/>
    </w:pPr>
    <w:rPr>
      <w:rFonts w:ascii="Tahoma" w:eastAsia="Times New Roman" w:hAnsi="Tahoma" w:cs="Times New Roman"/>
      <w:bCs/>
      <w:noProof/>
      <w:sz w:val="20"/>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98529">
      <w:bodyDiv w:val="1"/>
      <w:marLeft w:val="0"/>
      <w:marRight w:val="0"/>
      <w:marTop w:val="0"/>
      <w:marBottom w:val="0"/>
      <w:divBdr>
        <w:top w:val="none" w:sz="0" w:space="0" w:color="auto"/>
        <w:left w:val="none" w:sz="0" w:space="0" w:color="auto"/>
        <w:bottom w:val="none" w:sz="0" w:space="0" w:color="auto"/>
        <w:right w:val="none" w:sz="0" w:space="0" w:color="auto"/>
      </w:divBdr>
    </w:div>
    <w:div w:id="174922710">
      <w:bodyDiv w:val="1"/>
      <w:marLeft w:val="0"/>
      <w:marRight w:val="0"/>
      <w:marTop w:val="0"/>
      <w:marBottom w:val="0"/>
      <w:divBdr>
        <w:top w:val="none" w:sz="0" w:space="0" w:color="auto"/>
        <w:left w:val="none" w:sz="0" w:space="0" w:color="auto"/>
        <w:bottom w:val="none" w:sz="0" w:space="0" w:color="auto"/>
        <w:right w:val="none" w:sz="0" w:space="0" w:color="auto"/>
      </w:divBdr>
    </w:div>
    <w:div w:id="190386203">
      <w:bodyDiv w:val="1"/>
      <w:marLeft w:val="0"/>
      <w:marRight w:val="0"/>
      <w:marTop w:val="0"/>
      <w:marBottom w:val="0"/>
      <w:divBdr>
        <w:top w:val="none" w:sz="0" w:space="0" w:color="auto"/>
        <w:left w:val="none" w:sz="0" w:space="0" w:color="auto"/>
        <w:bottom w:val="none" w:sz="0" w:space="0" w:color="auto"/>
        <w:right w:val="none" w:sz="0" w:space="0" w:color="auto"/>
      </w:divBdr>
    </w:div>
    <w:div w:id="193662371">
      <w:bodyDiv w:val="1"/>
      <w:marLeft w:val="0"/>
      <w:marRight w:val="0"/>
      <w:marTop w:val="0"/>
      <w:marBottom w:val="0"/>
      <w:divBdr>
        <w:top w:val="none" w:sz="0" w:space="0" w:color="auto"/>
        <w:left w:val="none" w:sz="0" w:space="0" w:color="auto"/>
        <w:bottom w:val="none" w:sz="0" w:space="0" w:color="auto"/>
        <w:right w:val="none" w:sz="0" w:space="0" w:color="auto"/>
      </w:divBdr>
    </w:div>
    <w:div w:id="287592240">
      <w:bodyDiv w:val="1"/>
      <w:marLeft w:val="0"/>
      <w:marRight w:val="0"/>
      <w:marTop w:val="0"/>
      <w:marBottom w:val="0"/>
      <w:divBdr>
        <w:top w:val="none" w:sz="0" w:space="0" w:color="auto"/>
        <w:left w:val="none" w:sz="0" w:space="0" w:color="auto"/>
        <w:bottom w:val="none" w:sz="0" w:space="0" w:color="auto"/>
        <w:right w:val="none" w:sz="0" w:space="0" w:color="auto"/>
      </w:divBdr>
    </w:div>
    <w:div w:id="428934876">
      <w:bodyDiv w:val="1"/>
      <w:marLeft w:val="0"/>
      <w:marRight w:val="0"/>
      <w:marTop w:val="0"/>
      <w:marBottom w:val="0"/>
      <w:divBdr>
        <w:top w:val="none" w:sz="0" w:space="0" w:color="auto"/>
        <w:left w:val="none" w:sz="0" w:space="0" w:color="auto"/>
        <w:bottom w:val="none" w:sz="0" w:space="0" w:color="auto"/>
        <w:right w:val="none" w:sz="0" w:space="0" w:color="auto"/>
      </w:divBdr>
    </w:div>
    <w:div w:id="455876008">
      <w:bodyDiv w:val="1"/>
      <w:marLeft w:val="0"/>
      <w:marRight w:val="0"/>
      <w:marTop w:val="0"/>
      <w:marBottom w:val="0"/>
      <w:divBdr>
        <w:top w:val="none" w:sz="0" w:space="0" w:color="auto"/>
        <w:left w:val="none" w:sz="0" w:space="0" w:color="auto"/>
        <w:bottom w:val="none" w:sz="0" w:space="0" w:color="auto"/>
        <w:right w:val="none" w:sz="0" w:space="0" w:color="auto"/>
      </w:divBdr>
    </w:div>
    <w:div w:id="610237267">
      <w:bodyDiv w:val="1"/>
      <w:marLeft w:val="0"/>
      <w:marRight w:val="0"/>
      <w:marTop w:val="0"/>
      <w:marBottom w:val="0"/>
      <w:divBdr>
        <w:top w:val="none" w:sz="0" w:space="0" w:color="auto"/>
        <w:left w:val="none" w:sz="0" w:space="0" w:color="auto"/>
        <w:bottom w:val="none" w:sz="0" w:space="0" w:color="auto"/>
        <w:right w:val="none" w:sz="0" w:space="0" w:color="auto"/>
      </w:divBdr>
    </w:div>
    <w:div w:id="644352696">
      <w:bodyDiv w:val="1"/>
      <w:marLeft w:val="0"/>
      <w:marRight w:val="0"/>
      <w:marTop w:val="0"/>
      <w:marBottom w:val="0"/>
      <w:divBdr>
        <w:top w:val="none" w:sz="0" w:space="0" w:color="auto"/>
        <w:left w:val="none" w:sz="0" w:space="0" w:color="auto"/>
        <w:bottom w:val="none" w:sz="0" w:space="0" w:color="auto"/>
        <w:right w:val="none" w:sz="0" w:space="0" w:color="auto"/>
      </w:divBdr>
    </w:div>
    <w:div w:id="660236541">
      <w:bodyDiv w:val="1"/>
      <w:marLeft w:val="0"/>
      <w:marRight w:val="0"/>
      <w:marTop w:val="0"/>
      <w:marBottom w:val="0"/>
      <w:divBdr>
        <w:top w:val="none" w:sz="0" w:space="0" w:color="auto"/>
        <w:left w:val="none" w:sz="0" w:space="0" w:color="auto"/>
        <w:bottom w:val="none" w:sz="0" w:space="0" w:color="auto"/>
        <w:right w:val="none" w:sz="0" w:space="0" w:color="auto"/>
      </w:divBdr>
    </w:div>
    <w:div w:id="669404256">
      <w:bodyDiv w:val="1"/>
      <w:marLeft w:val="0"/>
      <w:marRight w:val="0"/>
      <w:marTop w:val="0"/>
      <w:marBottom w:val="0"/>
      <w:divBdr>
        <w:top w:val="none" w:sz="0" w:space="0" w:color="auto"/>
        <w:left w:val="none" w:sz="0" w:space="0" w:color="auto"/>
        <w:bottom w:val="none" w:sz="0" w:space="0" w:color="auto"/>
        <w:right w:val="none" w:sz="0" w:space="0" w:color="auto"/>
      </w:divBdr>
    </w:div>
    <w:div w:id="828013188">
      <w:bodyDiv w:val="1"/>
      <w:marLeft w:val="0"/>
      <w:marRight w:val="0"/>
      <w:marTop w:val="0"/>
      <w:marBottom w:val="0"/>
      <w:divBdr>
        <w:top w:val="none" w:sz="0" w:space="0" w:color="auto"/>
        <w:left w:val="none" w:sz="0" w:space="0" w:color="auto"/>
        <w:bottom w:val="none" w:sz="0" w:space="0" w:color="auto"/>
        <w:right w:val="none" w:sz="0" w:space="0" w:color="auto"/>
      </w:divBdr>
    </w:div>
    <w:div w:id="861012413">
      <w:bodyDiv w:val="1"/>
      <w:marLeft w:val="0"/>
      <w:marRight w:val="0"/>
      <w:marTop w:val="0"/>
      <w:marBottom w:val="0"/>
      <w:divBdr>
        <w:top w:val="none" w:sz="0" w:space="0" w:color="auto"/>
        <w:left w:val="none" w:sz="0" w:space="0" w:color="auto"/>
        <w:bottom w:val="none" w:sz="0" w:space="0" w:color="auto"/>
        <w:right w:val="none" w:sz="0" w:space="0" w:color="auto"/>
      </w:divBdr>
    </w:div>
    <w:div w:id="865564802">
      <w:bodyDiv w:val="1"/>
      <w:marLeft w:val="0"/>
      <w:marRight w:val="0"/>
      <w:marTop w:val="0"/>
      <w:marBottom w:val="0"/>
      <w:divBdr>
        <w:top w:val="none" w:sz="0" w:space="0" w:color="auto"/>
        <w:left w:val="none" w:sz="0" w:space="0" w:color="auto"/>
        <w:bottom w:val="none" w:sz="0" w:space="0" w:color="auto"/>
        <w:right w:val="none" w:sz="0" w:space="0" w:color="auto"/>
      </w:divBdr>
    </w:div>
    <w:div w:id="875386315">
      <w:bodyDiv w:val="1"/>
      <w:marLeft w:val="0"/>
      <w:marRight w:val="0"/>
      <w:marTop w:val="0"/>
      <w:marBottom w:val="0"/>
      <w:divBdr>
        <w:top w:val="none" w:sz="0" w:space="0" w:color="auto"/>
        <w:left w:val="none" w:sz="0" w:space="0" w:color="auto"/>
        <w:bottom w:val="none" w:sz="0" w:space="0" w:color="auto"/>
        <w:right w:val="none" w:sz="0" w:space="0" w:color="auto"/>
      </w:divBdr>
    </w:div>
    <w:div w:id="876312774">
      <w:bodyDiv w:val="1"/>
      <w:marLeft w:val="0"/>
      <w:marRight w:val="0"/>
      <w:marTop w:val="0"/>
      <w:marBottom w:val="0"/>
      <w:divBdr>
        <w:top w:val="none" w:sz="0" w:space="0" w:color="auto"/>
        <w:left w:val="none" w:sz="0" w:space="0" w:color="auto"/>
        <w:bottom w:val="none" w:sz="0" w:space="0" w:color="auto"/>
        <w:right w:val="none" w:sz="0" w:space="0" w:color="auto"/>
      </w:divBdr>
    </w:div>
    <w:div w:id="884221193">
      <w:bodyDiv w:val="1"/>
      <w:marLeft w:val="0"/>
      <w:marRight w:val="0"/>
      <w:marTop w:val="0"/>
      <w:marBottom w:val="0"/>
      <w:divBdr>
        <w:top w:val="none" w:sz="0" w:space="0" w:color="auto"/>
        <w:left w:val="none" w:sz="0" w:space="0" w:color="auto"/>
        <w:bottom w:val="none" w:sz="0" w:space="0" w:color="auto"/>
        <w:right w:val="none" w:sz="0" w:space="0" w:color="auto"/>
      </w:divBdr>
    </w:div>
    <w:div w:id="926579447">
      <w:bodyDiv w:val="1"/>
      <w:marLeft w:val="0"/>
      <w:marRight w:val="0"/>
      <w:marTop w:val="0"/>
      <w:marBottom w:val="0"/>
      <w:divBdr>
        <w:top w:val="none" w:sz="0" w:space="0" w:color="auto"/>
        <w:left w:val="none" w:sz="0" w:space="0" w:color="auto"/>
        <w:bottom w:val="none" w:sz="0" w:space="0" w:color="auto"/>
        <w:right w:val="none" w:sz="0" w:space="0" w:color="auto"/>
      </w:divBdr>
    </w:div>
    <w:div w:id="955789510">
      <w:bodyDiv w:val="1"/>
      <w:marLeft w:val="0"/>
      <w:marRight w:val="0"/>
      <w:marTop w:val="0"/>
      <w:marBottom w:val="0"/>
      <w:divBdr>
        <w:top w:val="none" w:sz="0" w:space="0" w:color="auto"/>
        <w:left w:val="none" w:sz="0" w:space="0" w:color="auto"/>
        <w:bottom w:val="none" w:sz="0" w:space="0" w:color="auto"/>
        <w:right w:val="none" w:sz="0" w:space="0" w:color="auto"/>
      </w:divBdr>
    </w:div>
    <w:div w:id="966426090">
      <w:bodyDiv w:val="1"/>
      <w:marLeft w:val="0"/>
      <w:marRight w:val="0"/>
      <w:marTop w:val="0"/>
      <w:marBottom w:val="0"/>
      <w:divBdr>
        <w:top w:val="none" w:sz="0" w:space="0" w:color="auto"/>
        <w:left w:val="none" w:sz="0" w:space="0" w:color="auto"/>
        <w:bottom w:val="none" w:sz="0" w:space="0" w:color="auto"/>
        <w:right w:val="none" w:sz="0" w:space="0" w:color="auto"/>
      </w:divBdr>
    </w:div>
    <w:div w:id="1008093893">
      <w:bodyDiv w:val="1"/>
      <w:marLeft w:val="0"/>
      <w:marRight w:val="0"/>
      <w:marTop w:val="0"/>
      <w:marBottom w:val="0"/>
      <w:divBdr>
        <w:top w:val="none" w:sz="0" w:space="0" w:color="auto"/>
        <w:left w:val="none" w:sz="0" w:space="0" w:color="auto"/>
        <w:bottom w:val="none" w:sz="0" w:space="0" w:color="auto"/>
        <w:right w:val="none" w:sz="0" w:space="0" w:color="auto"/>
      </w:divBdr>
    </w:div>
    <w:div w:id="1050416931">
      <w:bodyDiv w:val="1"/>
      <w:marLeft w:val="0"/>
      <w:marRight w:val="0"/>
      <w:marTop w:val="0"/>
      <w:marBottom w:val="0"/>
      <w:divBdr>
        <w:top w:val="none" w:sz="0" w:space="0" w:color="auto"/>
        <w:left w:val="none" w:sz="0" w:space="0" w:color="auto"/>
        <w:bottom w:val="none" w:sz="0" w:space="0" w:color="auto"/>
        <w:right w:val="none" w:sz="0" w:space="0" w:color="auto"/>
      </w:divBdr>
    </w:div>
    <w:div w:id="1068916747">
      <w:bodyDiv w:val="1"/>
      <w:marLeft w:val="0"/>
      <w:marRight w:val="0"/>
      <w:marTop w:val="0"/>
      <w:marBottom w:val="0"/>
      <w:divBdr>
        <w:top w:val="none" w:sz="0" w:space="0" w:color="auto"/>
        <w:left w:val="none" w:sz="0" w:space="0" w:color="auto"/>
        <w:bottom w:val="none" w:sz="0" w:space="0" w:color="auto"/>
        <w:right w:val="none" w:sz="0" w:space="0" w:color="auto"/>
      </w:divBdr>
    </w:div>
    <w:div w:id="1208950556">
      <w:bodyDiv w:val="1"/>
      <w:marLeft w:val="0"/>
      <w:marRight w:val="0"/>
      <w:marTop w:val="0"/>
      <w:marBottom w:val="0"/>
      <w:divBdr>
        <w:top w:val="none" w:sz="0" w:space="0" w:color="auto"/>
        <w:left w:val="none" w:sz="0" w:space="0" w:color="auto"/>
        <w:bottom w:val="none" w:sz="0" w:space="0" w:color="auto"/>
        <w:right w:val="none" w:sz="0" w:space="0" w:color="auto"/>
      </w:divBdr>
    </w:div>
    <w:div w:id="1260720726">
      <w:bodyDiv w:val="1"/>
      <w:marLeft w:val="0"/>
      <w:marRight w:val="0"/>
      <w:marTop w:val="0"/>
      <w:marBottom w:val="0"/>
      <w:divBdr>
        <w:top w:val="none" w:sz="0" w:space="0" w:color="auto"/>
        <w:left w:val="none" w:sz="0" w:space="0" w:color="auto"/>
        <w:bottom w:val="none" w:sz="0" w:space="0" w:color="auto"/>
        <w:right w:val="none" w:sz="0" w:space="0" w:color="auto"/>
      </w:divBdr>
    </w:div>
    <w:div w:id="1262448141">
      <w:bodyDiv w:val="1"/>
      <w:marLeft w:val="0"/>
      <w:marRight w:val="0"/>
      <w:marTop w:val="0"/>
      <w:marBottom w:val="0"/>
      <w:divBdr>
        <w:top w:val="none" w:sz="0" w:space="0" w:color="auto"/>
        <w:left w:val="none" w:sz="0" w:space="0" w:color="auto"/>
        <w:bottom w:val="none" w:sz="0" w:space="0" w:color="auto"/>
        <w:right w:val="none" w:sz="0" w:space="0" w:color="auto"/>
      </w:divBdr>
    </w:div>
    <w:div w:id="1353919467">
      <w:bodyDiv w:val="1"/>
      <w:marLeft w:val="0"/>
      <w:marRight w:val="0"/>
      <w:marTop w:val="0"/>
      <w:marBottom w:val="0"/>
      <w:divBdr>
        <w:top w:val="none" w:sz="0" w:space="0" w:color="auto"/>
        <w:left w:val="none" w:sz="0" w:space="0" w:color="auto"/>
        <w:bottom w:val="none" w:sz="0" w:space="0" w:color="auto"/>
        <w:right w:val="none" w:sz="0" w:space="0" w:color="auto"/>
      </w:divBdr>
    </w:div>
    <w:div w:id="1458180814">
      <w:bodyDiv w:val="1"/>
      <w:marLeft w:val="0"/>
      <w:marRight w:val="0"/>
      <w:marTop w:val="0"/>
      <w:marBottom w:val="0"/>
      <w:divBdr>
        <w:top w:val="none" w:sz="0" w:space="0" w:color="auto"/>
        <w:left w:val="none" w:sz="0" w:space="0" w:color="auto"/>
        <w:bottom w:val="none" w:sz="0" w:space="0" w:color="auto"/>
        <w:right w:val="none" w:sz="0" w:space="0" w:color="auto"/>
      </w:divBdr>
    </w:div>
    <w:div w:id="1493060425">
      <w:bodyDiv w:val="1"/>
      <w:marLeft w:val="0"/>
      <w:marRight w:val="0"/>
      <w:marTop w:val="0"/>
      <w:marBottom w:val="0"/>
      <w:divBdr>
        <w:top w:val="none" w:sz="0" w:space="0" w:color="auto"/>
        <w:left w:val="none" w:sz="0" w:space="0" w:color="auto"/>
        <w:bottom w:val="none" w:sz="0" w:space="0" w:color="auto"/>
        <w:right w:val="none" w:sz="0" w:space="0" w:color="auto"/>
      </w:divBdr>
    </w:div>
    <w:div w:id="1501122458">
      <w:bodyDiv w:val="1"/>
      <w:marLeft w:val="0"/>
      <w:marRight w:val="0"/>
      <w:marTop w:val="0"/>
      <w:marBottom w:val="0"/>
      <w:divBdr>
        <w:top w:val="none" w:sz="0" w:space="0" w:color="auto"/>
        <w:left w:val="none" w:sz="0" w:space="0" w:color="auto"/>
        <w:bottom w:val="none" w:sz="0" w:space="0" w:color="auto"/>
        <w:right w:val="none" w:sz="0" w:space="0" w:color="auto"/>
      </w:divBdr>
    </w:div>
    <w:div w:id="1546210616">
      <w:bodyDiv w:val="1"/>
      <w:marLeft w:val="0"/>
      <w:marRight w:val="0"/>
      <w:marTop w:val="0"/>
      <w:marBottom w:val="0"/>
      <w:divBdr>
        <w:top w:val="none" w:sz="0" w:space="0" w:color="auto"/>
        <w:left w:val="none" w:sz="0" w:space="0" w:color="auto"/>
        <w:bottom w:val="none" w:sz="0" w:space="0" w:color="auto"/>
        <w:right w:val="none" w:sz="0" w:space="0" w:color="auto"/>
      </w:divBdr>
    </w:div>
    <w:div w:id="1556891479">
      <w:bodyDiv w:val="1"/>
      <w:marLeft w:val="0"/>
      <w:marRight w:val="0"/>
      <w:marTop w:val="0"/>
      <w:marBottom w:val="0"/>
      <w:divBdr>
        <w:top w:val="none" w:sz="0" w:space="0" w:color="auto"/>
        <w:left w:val="none" w:sz="0" w:space="0" w:color="auto"/>
        <w:bottom w:val="none" w:sz="0" w:space="0" w:color="auto"/>
        <w:right w:val="none" w:sz="0" w:space="0" w:color="auto"/>
      </w:divBdr>
    </w:div>
    <w:div w:id="1596094740">
      <w:bodyDiv w:val="1"/>
      <w:marLeft w:val="0"/>
      <w:marRight w:val="0"/>
      <w:marTop w:val="0"/>
      <w:marBottom w:val="0"/>
      <w:divBdr>
        <w:top w:val="none" w:sz="0" w:space="0" w:color="auto"/>
        <w:left w:val="none" w:sz="0" w:space="0" w:color="auto"/>
        <w:bottom w:val="none" w:sz="0" w:space="0" w:color="auto"/>
        <w:right w:val="none" w:sz="0" w:space="0" w:color="auto"/>
      </w:divBdr>
    </w:div>
    <w:div w:id="1597637211">
      <w:bodyDiv w:val="1"/>
      <w:marLeft w:val="0"/>
      <w:marRight w:val="0"/>
      <w:marTop w:val="0"/>
      <w:marBottom w:val="0"/>
      <w:divBdr>
        <w:top w:val="none" w:sz="0" w:space="0" w:color="auto"/>
        <w:left w:val="none" w:sz="0" w:space="0" w:color="auto"/>
        <w:bottom w:val="none" w:sz="0" w:space="0" w:color="auto"/>
        <w:right w:val="none" w:sz="0" w:space="0" w:color="auto"/>
      </w:divBdr>
    </w:div>
    <w:div w:id="1641154056">
      <w:bodyDiv w:val="1"/>
      <w:marLeft w:val="0"/>
      <w:marRight w:val="0"/>
      <w:marTop w:val="0"/>
      <w:marBottom w:val="0"/>
      <w:divBdr>
        <w:top w:val="none" w:sz="0" w:space="0" w:color="auto"/>
        <w:left w:val="none" w:sz="0" w:space="0" w:color="auto"/>
        <w:bottom w:val="none" w:sz="0" w:space="0" w:color="auto"/>
        <w:right w:val="none" w:sz="0" w:space="0" w:color="auto"/>
      </w:divBdr>
    </w:div>
    <w:div w:id="1664358161">
      <w:bodyDiv w:val="1"/>
      <w:marLeft w:val="0"/>
      <w:marRight w:val="0"/>
      <w:marTop w:val="0"/>
      <w:marBottom w:val="0"/>
      <w:divBdr>
        <w:top w:val="none" w:sz="0" w:space="0" w:color="auto"/>
        <w:left w:val="none" w:sz="0" w:space="0" w:color="auto"/>
        <w:bottom w:val="none" w:sz="0" w:space="0" w:color="auto"/>
        <w:right w:val="none" w:sz="0" w:space="0" w:color="auto"/>
      </w:divBdr>
    </w:div>
    <w:div w:id="1702316117">
      <w:bodyDiv w:val="1"/>
      <w:marLeft w:val="0"/>
      <w:marRight w:val="0"/>
      <w:marTop w:val="0"/>
      <w:marBottom w:val="0"/>
      <w:divBdr>
        <w:top w:val="none" w:sz="0" w:space="0" w:color="auto"/>
        <w:left w:val="none" w:sz="0" w:space="0" w:color="auto"/>
        <w:bottom w:val="none" w:sz="0" w:space="0" w:color="auto"/>
        <w:right w:val="none" w:sz="0" w:space="0" w:color="auto"/>
      </w:divBdr>
    </w:div>
    <w:div w:id="1841699096">
      <w:bodyDiv w:val="1"/>
      <w:marLeft w:val="0"/>
      <w:marRight w:val="0"/>
      <w:marTop w:val="0"/>
      <w:marBottom w:val="0"/>
      <w:divBdr>
        <w:top w:val="none" w:sz="0" w:space="0" w:color="auto"/>
        <w:left w:val="none" w:sz="0" w:space="0" w:color="auto"/>
        <w:bottom w:val="none" w:sz="0" w:space="0" w:color="auto"/>
        <w:right w:val="none" w:sz="0" w:space="0" w:color="auto"/>
      </w:divBdr>
    </w:div>
    <w:div w:id="1858303373">
      <w:bodyDiv w:val="1"/>
      <w:marLeft w:val="0"/>
      <w:marRight w:val="0"/>
      <w:marTop w:val="0"/>
      <w:marBottom w:val="0"/>
      <w:divBdr>
        <w:top w:val="none" w:sz="0" w:space="0" w:color="auto"/>
        <w:left w:val="none" w:sz="0" w:space="0" w:color="auto"/>
        <w:bottom w:val="none" w:sz="0" w:space="0" w:color="auto"/>
        <w:right w:val="none" w:sz="0" w:space="0" w:color="auto"/>
      </w:divBdr>
    </w:div>
    <w:div w:id="1920865969">
      <w:bodyDiv w:val="1"/>
      <w:marLeft w:val="0"/>
      <w:marRight w:val="0"/>
      <w:marTop w:val="0"/>
      <w:marBottom w:val="0"/>
      <w:divBdr>
        <w:top w:val="none" w:sz="0" w:space="0" w:color="auto"/>
        <w:left w:val="none" w:sz="0" w:space="0" w:color="auto"/>
        <w:bottom w:val="none" w:sz="0" w:space="0" w:color="auto"/>
        <w:right w:val="none" w:sz="0" w:space="0" w:color="auto"/>
      </w:divBdr>
    </w:div>
    <w:div w:id="1942106815">
      <w:bodyDiv w:val="1"/>
      <w:marLeft w:val="0"/>
      <w:marRight w:val="0"/>
      <w:marTop w:val="0"/>
      <w:marBottom w:val="0"/>
      <w:divBdr>
        <w:top w:val="none" w:sz="0" w:space="0" w:color="auto"/>
        <w:left w:val="none" w:sz="0" w:space="0" w:color="auto"/>
        <w:bottom w:val="none" w:sz="0" w:space="0" w:color="auto"/>
        <w:right w:val="none" w:sz="0" w:space="0" w:color="auto"/>
      </w:divBdr>
    </w:div>
    <w:div w:id="1982150617">
      <w:bodyDiv w:val="1"/>
      <w:marLeft w:val="0"/>
      <w:marRight w:val="0"/>
      <w:marTop w:val="0"/>
      <w:marBottom w:val="0"/>
      <w:divBdr>
        <w:top w:val="none" w:sz="0" w:space="0" w:color="auto"/>
        <w:left w:val="none" w:sz="0" w:space="0" w:color="auto"/>
        <w:bottom w:val="none" w:sz="0" w:space="0" w:color="auto"/>
        <w:right w:val="none" w:sz="0" w:space="0" w:color="auto"/>
      </w:divBdr>
    </w:div>
    <w:div w:id="1992634888">
      <w:bodyDiv w:val="1"/>
      <w:marLeft w:val="0"/>
      <w:marRight w:val="0"/>
      <w:marTop w:val="0"/>
      <w:marBottom w:val="0"/>
      <w:divBdr>
        <w:top w:val="none" w:sz="0" w:space="0" w:color="auto"/>
        <w:left w:val="none" w:sz="0" w:space="0" w:color="auto"/>
        <w:bottom w:val="none" w:sz="0" w:space="0" w:color="auto"/>
        <w:right w:val="none" w:sz="0" w:space="0" w:color="auto"/>
      </w:divBdr>
    </w:div>
    <w:div w:id="2027515446">
      <w:bodyDiv w:val="1"/>
      <w:marLeft w:val="0"/>
      <w:marRight w:val="0"/>
      <w:marTop w:val="0"/>
      <w:marBottom w:val="0"/>
      <w:divBdr>
        <w:top w:val="none" w:sz="0" w:space="0" w:color="auto"/>
        <w:left w:val="none" w:sz="0" w:space="0" w:color="auto"/>
        <w:bottom w:val="none" w:sz="0" w:space="0" w:color="auto"/>
        <w:right w:val="none" w:sz="0" w:space="0" w:color="auto"/>
      </w:divBdr>
    </w:div>
    <w:div w:id="2057966604">
      <w:bodyDiv w:val="1"/>
      <w:marLeft w:val="0"/>
      <w:marRight w:val="0"/>
      <w:marTop w:val="0"/>
      <w:marBottom w:val="0"/>
      <w:divBdr>
        <w:top w:val="none" w:sz="0" w:space="0" w:color="auto"/>
        <w:left w:val="none" w:sz="0" w:space="0" w:color="auto"/>
        <w:bottom w:val="none" w:sz="0" w:space="0" w:color="auto"/>
        <w:right w:val="none" w:sz="0" w:space="0" w:color="auto"/>
      </w:divBdr>
    </w:div>
    <w:div w:id="2113159192">
      <w:bodyDiv w:val="1"/>
      <w:marLeft w:val="0"/>
      <w:marRight w:val="0"/>
      <w:marTop w:val="0"/>
      <w:marBottom w:val="0"/>
      <w:divBdr>
        <w:top w:val="none" w:sz="0" w:space="0" w:color="auto"/>
        <w:left w:val="none" w:sz="0" w:space="0" w:color="auto"/>
        <w:bottom w:val="none" w:sz="0" w:space="0" w:color="auto"/>
        <w:right w:val="none" w:sz="0" w:space="0" w:color="auto"/>
      </w:divBdr>
    </w:div>
    <w:div w:id="2125532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jp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556416-0719-45EB-930E-03F35028BF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2809</Words>
  <Characters>16013</Characters>
  <Application>Microsoft Office Word</Application>
  <DocSecurity>0</DocSecurity>
  <Lines>133</Lines>
  <Paragraphs>37</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TITOLO DEL DOCUMENTOTITOLO RIGA 2</vt:lpstr>
      <vt:lpstr>TITOLO DEL DOCUMENTOTITOLO RIGA 2</vt:lpstr>
    </vt:vector>
  </TitlesOfParts>
  <Company>Fondiaria-SAI S.p.A.</Company>
  <LinksUpToDate>false</LinksUpToDate>
  <CharactersWithSpaces>18785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TITOLO DEL DOCUMENTOTITOLO RIGA 2</dc:title>
  <dc:creator>Giulio Melosi</dc:creator>
  <cp:lastModifiedBy>Alessandro Sabatucci</cp:lastModifiedBy>
  <cp:revision>3</cp:revision>
  <cp:lastPrinted>2023-07-24T09:50:00Z</cp:lastPrinted>
  <dcterms:created xsi:type="dcterms:W3CDTF">2023-07-24T08:05:00Z</dcterms:created>
  <dcterms:modified xsi:type="dcterms:W3CDTF">2023-07-24T09:58:00Z</dcterms:modified>
</cp:coreProperties>
</file>